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8E6C" w14:textId="3059032A" w:rsidR="000B23BF" w:rsidRPr="009A2F26" w:rsidRDefault="008059AE" w:rsidP="00726DA0">
      <w:pPr>
        <w:spacing w:after="9" w:line="232" w:lineRule="auto"/>
        <w:ind w:left="-5" w:right="-136"/>
        <w:jc w:val="left"/>
        <w:rPr>
          <w:bCs/>
        </w:rPr>
      </w:pPr>
      <w:r>
        <w:rPr>
          <w:rFonts w:ascii="Times New Roman" w:eastAsia="Times New Roman" w:hAnsi="Times New Roman" w:cs="Times New Roman"/>
          <w:b/>
          <w:sz w:val="18"/>
        </w:rPr>
        <w:t xml:space="preserve">  </w:t>
      </w:r>
      <w:r w:rsidR="0062038A">
        <w:rPr>
          <w:noProof/>
        </w:rPr>
        <w:drawing>
          <wp:inline distT="0" distB="0" distL="0" distR="0" wp14:anchorId="77CA1E74" wp14:editId="1FFF4E0A">
            <wp:extent cx="2479040" cy="44005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9040" cy="440055"/>
                    </a:xfrm>
                    <a:prstGeom prst="rect">
                      <a:avLst/>
                    </a:prstGeom>
                  </pic:spPr>
                </pic:pic>
              </a:graphicData>
            </a:graphic>
          </wp:inline>
        </w:drawing>
      </w:r>
      <w:r>
        <w:rPr>
          <w:rFonts w:ascii="Times New Roman" w:eastAsia="Times New Roman" w:hAnsi="Times New Roman" w:cs="Times New Roman"/>
          <w:b/>
          <w:sz w:val="18"/>
        </w:rPr>
        <w:t xml:space="preserve">                               </w:t>
      </w:r>
      <w:r w:rsidR="009A2F26">
        <w:rPr>
          <w:rFonts w:ascii="Times New Roman" w:eastAsia="Times New Roman" w:hAnsi="Times New Roman" w:cs="Times New Roman"/>
          <w:b/>
          <w:sz w:val="18"/>
        </w:rPr>
        <w:t>An</w:t>
      </w:r>
      <w:r w:rsidRPr="00726DA0">
        <w:rPr>
          <w:rFonts w:asciiTheme="minorHAnsi" w:eastAsia="Times New Roman" w:hAnsiTheme="minorHAnsi" w:cstheme="minorHAnsi"/>
          <w:b/>
          <w:sz w:val="18"/>
        </w:rPr>
        <w:t>née 202</w:t>
      </w:r>
      <w:r w:rsidR="00135076">
        <w:rPr>
          <w:rFonts w:asciiTheme="minorHAnsi" w:eastAsia="Times New Roman" w:hAnsiTheme="minorHAnsi" w:cstheme="minorHAnsi"/>
          <w:b/>
          <w:sz w:val="18"/>
        </w:rPr>
        <w:t>6</w:t>
      </w:r>
      <w:r w:rsidR="00B7407D" w:rsidRPr="00726DA0">
        <w:rPr>
          <w:rFonts w:asciiTheme="minorHAnsi" w:eastAsia="Times New Roman" w:hAnsiTheme="minorHAnsi" w:cstheme="minorHAnsi"/>
          <w:b/>
          <w:sz w:val="18"/>
        </w:rPr>
        <w:t>-202</w:t>
      </w:r>
      <w:r w:rsidR="00135076">
        <w:rPr>
          <w:rFonts w:asciiTheme="minorHAnsi" w:eastAsia="Times New Roman" w:hAnsiTheme="minorHAnsi" w:cstheme="minorHAnsi"/>
          <w:b/>
          <w:sz w:val="18"/>
        </w:rPr>
        <w:t>7</w:t>
      </w:r>
      <w:r w:rsidR="009A2F26">
        <w:rPr>
          <w:rFonts w:asciiTheme="minorHAnsi" w:eastAsia="Times New Roman" w:hAnsiTheme="minorHAnsi" w:cstheme="minorHAnsi"/>
          <w:b/>
          <w:sz w:val="18"/>
        </w:rPr>
        <w:t xml:space="preserve"> </w:t>
      </w:r>
      <w:r w:rsidR="009A2F26" w:rsidRPr="009A2F26">
        <w:rPr>
          <w:rFonts w:asciiTheme="minorHAnsi" w:eastAsia="Times New Roman" w:hAnsiTheme="minorHAnsi" w:cstheme="minorHAnsi"/>
          <w:bCs/>
          <w:sz w:val="18"/>
        </w:rPr>
        <w:t xml:space="preserve">(Version du </w:t>
      </w:r>
      <w:r w:rsidR="00135076">
        <w:rPr>
          <w:rFonts w:asciiTheme="minorHAnsi" w:eastAsia="Times New Roman" w:hAnsiTheme="minorHAnsi" w:cstheme="minorHAnsi"/>
          <w:bCs/>
          <w:sz w:val="18"/>
        </w:rPr>
        <w:t>11</w:t>
      </w:r>
      <w:r w:rsidR="003E1B8B">
        <w:rPr>
          <w:rFonts w:asciiTheme="minorHAnsi" w:eastAsia="Times New Roman" w:hAnsiTheme="minorHAnsi" w:cstheme="minorHAnsi"/>
          <w:bCs/>
          <w:sz w:val="18"/>
        </w:rPr>
        <w:t xml:space="preserve"> juin </w:t>
      </w:r>
      <w:r w:rsidR="00974C26">
        <w:rPr>
          <w:rFonts w:asciiTheme="minorHAnsi" w:eastAsia="Times New Roman" w:hAnsiTheme="minorHAnsi" w:cstheme="minorHAnsi"/>
          <w:bCs/>
          <w:sz w:val="18"/>
        </w:rPr>
        <w:t>202</w:t>
      </w:r>
      <w:r w:rsidR="00135076">
        <w:rPr>
          <w:rFonts w:asciiTheme="minorHAnsi" w:eastAsia="Times New Roman" w:hAnsiTheme="minorHAnsi" w:cstheme="minorHAnsi"/>
          <w:bCs/>
          <w:sz w:val="18"/>
        </w:rPr>
        <w:t>6</w:t>
      </w:r>
      <w:r w:rsidR="00974C26">
        <w:rPr>
          <w:rFonts w:asciiTheme="minorHAnsi" w:eastAsia="Times New Roman" w:hAnsiTheme="minorHAnsi" w:cstheme="minorHAnsi"/>
          <w:bCs/>
          <w:sz w:val="18"/>
        </w:rPr>
        <w:t>)</w:t>
      </w:r>
    </w:p>
    <w:p w14:paraId="3E195446" w14:textId="77777777" w:rsidR="0062038A" w:rsidRDefault="0062038A">
      <w:pPr>
        <w:spacing w:after="0" w:line="259" w:lineRule="auto"/>
        <w:ind w:left="45" w:right="0" w:firstLine="0"/>
        <w:jc w:val="center"/>
        <w:rPr>
          <w:b/>
        </w:rPr>
      </w:pPr>
    </w:p>
    <w:p w14:paraId="0A17FB1B" w14:textId="77777777" w:rsidR="0062038A" w:rsidRDefault="0062038A">
      <w:pPr>
        <w:spacing w:after="0" w:line="259" w:lineRule="auto"/>
        <w:ind w:left="45" w:right="0" w:firstLine="0"/>
        <w:jc w:val="center"/>
        <w:rPr>
          <w:b/>
        </w:rPr>
      </w:pPr>
    </w:p>
    <w:p w14:paraId="516846AD" w14:textId="77777777" w:rsidR="0062038A" w:rsidRDefault="0062038A">
      <w:pPr>
        <w:spacing w:after="0" w:line="259" w:lineRule="auto"/>
        <w:ind w:left="45" w:right="0" w:firstLine="0"/>
        <w:jc w:val="center"/>
        <w:rPr>
          <w:b/>
        </w:rPr>
      </w:pPr>
    </w:p>
    <w:p w14:paraId="4384A4B1" w14:textId="5508E5E4" w:rsidR="000B23BF" w:rsidRDefault="008059AE">
      <w:pPr>
        <w:spacing w:after="0" w:line="259" w:lineRule="auto"/>
        <w:ind w:left="45" w:right="0" w:firstLine="0"/>
        <w:jc w:val="center"/>
      </w:pPr>
      <w:r>
        <w:rPr>
          <w:b/>
        </w:rPr>
        <w:t xml:space="preserve"> </w:t>
      </w:r>
    </w:p>
    <w:p w14:paraId="2F37D332" w14:textId="730BA3D7" w:rsidR="00463DE8" w:rsidRDefault="008059AE" w:rsidP="00463DE8">
      <w:pPr>
        <w:spacing w:line="250" w:lineRule="auto"/>
        <w:ind w:left="810" w:right="809"/>
        <w:jc w:val="center"/>
      </w:pPr>
      <w:r>
        <w:rPr>
          <w:b/>
          <w:sz w:val="24"/>
        </w:rPr>
        <w:t xml:space="preserve"> </w:t>
      </w:r>
      <w:r w:rsidR="00463DE8">
        <w:rPr>
          <w:b/>
          <w:sz w:val="24"/>
        </w:rPr>
        <w:t>Second degré</w:t>
      </w:r>
      <w:r w:rsidR="00053ADD">
        <w:rPr>
          <w:b/>
          <w:sz w:val="24"/>
        </w:rPr>
        <w:t xml:space="preserve"> (Stagiaires) </w:t>
      </w:r>
    </w:p>
    <w:p w14:paraId="1F3A3F56" w14:textId="2EDF1301" w:rsidR="000B23BF" w:rsidRDefault="008059AE" w:rsidP="009501C0">
      <w:pPr>
        <w:spacing w:line="250" w:lineRule="auto"/>
        <w:ind w:left="810" w:right="6"/>
        <w:jc w:val="center"/>
        <w:rPr>
          <w:b/>
          <w:sz w:val="24"/>
        </w:rPr>
      </w:pPr>
      <w:r>
        <w:rPr>
          <w:b/>
          <w:sz w:val="24"/>
        </w:rPr>
        <w:t xml:space="preserve">Fonctionnaires-stagiaires en responsabilité professionnelle </w:t>
      </w:r>
      <w:r w:rsidR="009501C0">
        <w:rPr>
          <w:b/>
          <w:sz w:val="24"/>
        </w:rPr>
        <w:t>à</w:t>
      </w:r>
      <w:r>
        <w:rPr>
          <w:b/>
          <w:sz w:val="24"/>
        </w:rPr>
        <w:t xml:space="preserve"> </w:t>
      </w:r>
      <w:r w:rsidR="009501C0">
        <w:rPr>
          <w:b/>
          <w:sz w:val="24"/>
        </w:rPr>
        <w:t>temps pl</w:t>
      </w:r>
      <w:r>
        <w:rPr>
          <w:b/>
          <w:sz w:val="24"/>
        </w:rPr>
        <w:t xml:space="preserve">ein </w:t>
      </w:r>
      <w:r w:rsidR="009501C0">
        <w:rPr>
          <w:b/>
          <w:sz w:val="24"/>
        </w:rPr>
        <w:t>(FS-TP)</w:t>
      </w:r>
      <w:r>
        <w:rPr>
          <w:b/>
          <w:sz w:val="24"/>
        </w:rPr>
        <w:t xml:space="preserve"> </w:t>
      </w:r>
    </w:p>
    <w:p w14:paraId="47328B4A" w14:textId="023305FD" w:rsidR="000B23BF" w:rsidRDefault="008059AE">
      <w:pPr>
        <w:spacing w:line="250" w:lineRule="auto"/>
        <w:ind w:left="810" w:right="698"/>
        <w:jc w:val="center"/>
      </w:pPr>
      <w:r>
        <w:rPr>
          <w:b/>
          <w:sz w:val="24"/>
        </w:rPr>
        <w:t>Éléments de cadrage de</w:t>
      </w:r>
      <w:r w:rsidR="009501C0">
        <w:rPr>
          <w:b/>
          <w:sz w:val="24"/>
        </w:rPr>
        <w:t xml:space="preserve"> l’e</w:t>
      </w:r>
      <w:r w:rsidR="005D1AE6">
        <w:rPr>
          <w:b/>
          <w:sz w:val="24"/>
        </w:rPr>
        <w:t>ntretien</w:t>
      </w:r>
      <w:r>
        <w:rPr>
          <w:b/>
          <w:sz w:val="24"/>
        </w:rPr>
        <w:t xml:space="preserve"> professionnel</w:t>
      </w:r>
      <w:r w:rsidR="000C7523">
        <w:rPr>
          <w:b/>
          <w:sz w:val="24"/>
        </w:rPr>
        <w:t xml:space="preserve"> de fin de stage</w:t>
      </w:r>
    </w:p>
    <w:p w14:paraId="79167650" w14:textId="77777777" w:rsidR="000B23BF" w:rsidRDefault="008059AE">
      <w:pPr>
        <w:spacing w:after="0" w:line="259" w:lineRule="auto"/>
        <w:ind w:left="45" w:right="0" w:firstLine="0"/>
        <w:jc w:val="center"/>
      </w:pPr>
      <w:r>
        <w:rPr>
          <w:b/>
        </w:rPr>
        <w:t xml:space="preserve"> </w:t>
      </w:r>
    </w:p>
    <w:p w14:paraId="6DC5D27F" w14:textId="289D63F0" w:rsidR="000B23BF" w:rsidRDefault="008059AE">
      <w:pPr>
        <w:spacing w:after="0" w:line="259" w:lineRule="auto"/>
        <w:ind w:left="0" w:right="0" w:firstLine="0"/>
        <w:jc w:val="left"/>
      </w:pPr>
      <w:r>
        <w:t xml:space="preserve"> </w:t>
      </w:r>
    </w:p>
    <w:p w14:paraId="592940A8" w14:textId="74647C48" w:rsidR="000B23BF" w:rsidRDefault="008059AE">
      <w:pPr>
        <w:ind w:left="-5" w:right="0"/>
      </w:pPr>
      <w:r>
        <w:t xml:space="preserve">Les </w:t>
      </w:r>
      <w:r w:rsidR="000D3551">
        <w:t xml:space="preserve">fonctionnaires </w:t>
      </w:r>
      <w:r>
        <w:t xml:space="preserve">stagiaires en responsabilité professionnelle </w:t>
      </w:r>
      <w:r w:rsidR="00726DA0">
        <w:t>de</w:t>
      </w:r>
      <w:r>
        <w:t xml:space="preserve"> plein temps</w:t>
      </w:r>
      <w:r w:rsidR="00B7407D">
        <w:t xml:space="preserve"> </w:t>
      </w:r>
      <w:r>
        <w:t>sont amenés à rédiger un écrit de nature professionnelle centré sur le développement et la mise en œuvre, dans le cadre de l’exercice du métier, d’une des compétences professionnelles du référentiel des métiers du professorat et de l’éducation</w:t>
      </w:r>
      <w:r w:rsidR="000D3551">
        <w:t xml:space="preserve"> (BO du 25 juillet 2013)</w:t>
      </w:r>
      <w:r w:rsidR="000254ED">
        <w:rPr>
          <w:rStyle w:val="Appelnotedebasdep"/>
        </w:rPr>
        <w:footnoteReference w:id="1"/>
      </w:r>
      <w:r w:rsidR="001838AC">
        <w:t>,</w:t>
      </w:r>
      <w:r w:rsidR="000254ED">
        <w:rPr>
          <w:rStyle w:val="Appelnotedebasdep"/>
        </w:rPr>
        <w:footnoteReference w:id="2"/>
      </w:r>
    </w:p>
    <w:p w14:paraId="5212AFDB" w14:textId="051D5414" w:rsidR="000B23BF" w:rsidRDefault="008059AE">
      <w:pPr>
        <w:ind w:left="-5" w:right="0"/>
      </w:pPr>
      <w:r>
        <w:t>L’écrit professionne</w:t>
      </w:r>
      <w:r w:rsidR="00726DA0">
        <w:t>l</w:t>
      </w:r>
      <w:r w:rsidR="00DA5CB8">
        <w:rPr>
          <w:color w:val="FFC000"/>
        </w:rPr>
        <w:t xml:space="preserve"> </w:t>
      </w:r>
      <w:r>
        <w:t>participe du processus de formation, au même titre que les journées de formation</w:t>
      </w:r>
      <w:r w:rsidR="00B7407D">
        <w:t xml:space="preserve"> </w:t>
      </w:r>
      <w:r>
        <w:t xml:space="preserve">et le tutorat. La production d’un écrit professionnel repose sur le principe scientifiquement documenté qu’écrire sur sa pratique contribue à la construction de la professionnalité.  </w:t>
      </w:r>
    </w:p>
    <w:p w14:paraId="31F14957" w14:textId="77777777" w:rsidR="000B23BF" w:rsidRDefault="008059AE">
      <w:pPr>
        <w:spacing w:after="0" w:line="259" w:lineRule="auto"/>
        <w:ind w:left="0" w:right="0" w:firstLine="0"/>
        <w:jc w:val="left"/>
      </w:pPr>
      <w:r>
        <w:t xml:space="preserve"> </w:t>
      </w:r>
    </w:p>
    <w:p w14:paraId="10974DD9" w14:textId="77777777" w:rsidR="000B23BF" w:rsidRDefault="008059AE">
      <w:pPr>
        <w:spacing w:after="0" w:line="259" w:lineRule="auto"/>
        <w:ind w:left="0" w:right="0" w:firstLine="0"/>
        <w:jc w:val="left"/>
      </w:pPr>
      <w:r>
        <w:t xml:space="preserve"> </w:t>
      </w:r>
    </w:p>
    <w:p w14:paraId="17923D00" w14:textId="24D7C50F" w:rsidR="000B23BF" w:rsidRDefault="008059AE">
      <w:pPr>
        <w:pStyle w:val="Titre1"/>
        <w:ind w:left="-5"/>
      </w:pPr>
      <w:r>
        <w:t xml:space="preserve">Production attendue </w:t>
      </w:r>
      <w:r w:rsidRPr="00255EB0">
        <w:t xml:space="preserve">: un </w:t>
      </w:r>
      <w:r w:rsidR="00E80D5D">
        <w:t>support de communication</w:t>
      </w:r>
      <w:r w:rsidRPr="00255EB0">
        <w:t xml:space="preserve"> et un e</w:t>
      </w:r>
      <w:r>
        <w:t xml:space="preserve">ntretien  </w:t>
      </w:r>
    </w:p>
    <w:p w14:paraId="22C16F55" w14:textId="133FB39E" w:rsidR="00502437" w:rsidRPr="00E80D5D" w:rsidRDefault="008059AE" w:rsidP="00E80D5D">
      <w:pPr>
        <w:ind w:left="-5" w:right="0"/>
      </w:pPr>
      <w:r>
        <w:t xml:space="preserve">La production </w:t>
      </w:r>
      <w:r w:rsidRPr="00255EB0">
        <w:t xml:space="preserve">attendue </w:t>
      </w:r>
      <w:r>
        <w:t xml:space="preserve">est </w:t>
      </w:r>
      <w:r w:rsidR="000D3551">
        <w:t xml:space="preserve">un bilan et </w:t>
      </w:r>
      <w:r>
        <w:t xml:space="preserve">une synthèse de la progression dans la maîtrise d’une des compétences du référentiel des métiers du professorat et de l’éducation.  </w:t>
      </w:r>
      <w:r w:rsidR="00E80D5D">
        <w:t>Il prend en général la forme d’un écrit de 4 pages. Cet écrit part</w:t>
      </w:r>
      <w:r>
        <w:t xml:space="preserve"> des représentations </w:t>
      </w:r>
      <w:r w:rsidR="000D3551">
        <w:t xml:space="preserve">du fonctionnaire stagiaire </w:t>
      </w:r>
      <w:r w:rsidR="00E80D5D">
        <w:t>en début de stage, de constations sur la maitrise initiale de la compétence ciblée</w:t>
      </w:r>
      <w:r>
        <w:t xml:space="preserve"> pour montrer </w:t>
      </w:r>
      <w:r w:rsidR="00E80D5D">
        <w:t>le développement professionnel vécu pendant l’année de stage</w:t>
      </w:r>
      <w:r>
        <w:t xml:space="preserve">. Cet écrit est le point d’appui d’un entretien qui permettra à la commission d’identifier au travers d’un exposé du stagiaire et d’une phase de dialogue comment s’est construite la professionnalité sur la compétence retenue. </w:t>
      </w:r>
      <w:r w:rsidR="00E80D5D">
        <w:t xml:space="preserve">Le support peut prendre une autre forme (extrait de portfolio, vidéo </w:t>
      </w:r>
      <w:r w:rsidR="000254ED">
        <w:t>.</w:t>
      </w:r>
      <w:r w:rsidR="00E80D5D">
        <w:t xml:space="preserve">..). Dans ce cas, le fonctionnaire stagiaire s’assure </w:t>
      </w:r>
      <w:r w:rsidR="00E80D5D" w:rsidRPr="00E80D5D">
        <w:t>q</w:t>
      </w:r>
      <w:r w:rsidR="00390D6B" w:rsidRPr="00E80D5D">
        <w:t>u’il remplit bien la fonction de bilan et de synthèse, qu’il reflète une évolution des pratiques</w:t>
      </w:r>
      <w:r w:rsidR="00E80D5D">
        <w:t>, qu’il mentionne les leviers de la transformation professionnelle</w:t>
      </w:r>
      <w:r w:rsidR="00390D6B" w:rsidRPr="00E80D5D">
        <w:t>.</w:t>
      </w:r>
    </w:p>
    <w:p w14:paraId="70A60FFA" w14:textId="13A3EE49" w:rsidR="00390D6B" w:rsidRDefault="00390D6B">
      <w:pPr>
        <w:spacing w:after="0" w:line="259" w:lineRule="auto"/>
        <w:ind w:left="0" w:right="0" w:firstLine="0"/>
        <w:jc w:val="left"/>
      </w:pPr>
    </w:p>
    <w:p w14:paraId="12F91C8C" w14:textId="77777777" w:rsidR="00572516" w:rsidRDefault="00572516">
      <w:pPr>
        <w:spacing w:after="0" w:line="259" w:lineRule="auto"/>
        <w:ind w:left="0" w:right="0" w:firstLine="0"/>
        <w:jc w:val="left"/>
      </w:pPr>
    </w:p>
    <w:p w14:paraId="5D2BC9C6" w14:textId="77777777" w:rsidR="000B23BF" w:rsidRDefault="008059AE">
      <w:pPr>
        <w:pStyle w:val="Titre1"/>
        <w:ind w:left="-5"/>
      </w:pPr>
      <w:r>
        <w:t xml:space="preserve">Étapes du processus </w:t>
      </w:r>
    </w:p>
    <w:p w14:paraId="73E896C1" w14:textId="692AB7B7" w:rsidR="000B23BF" w:rsidRDefault="008059AE">
      <w:pPr>
        <w:ind w:left="-5" w:right="0"/>
      </w:pPr>
      <w:r>
        <w:t xml:space="preserve">La réflexion </w:t>
      </w:r>
      <w:r w:rsidR="00E80D5D">
        <w:t>s’appuie sur un travail d’</w:t>
      </w:r>
      <w:proofErr w:type="spellStart"/>
      <w:r w:rsidR="00E80D5D">
        <w:t>auto-positionnement</w:t>
      </w:r>
      <w:proofErr w:type="spellEnd"/>
      <w:r w:rsidR="00E80D5D">
        <w:t xml:space="preserve"> initial. Il </w:t>
      </w:r>
      <w:r>
        <w:t>résulte du cheminement qui a favorisé l’acquisition de la compétence professionnelle retenue. Ce cheminement s’appu</w:t>
      </w:r>
      <w:r w:rsidR="00B7407D">
        <w:t>ie sur le cadre réglementaire</w:t>
      </w:r>
      <w:r w:rsidR="000D3551">
        <w:t xml:space="preserve"> et mobilise </w:t>
      </w:r>
      <w:r w:rsidR="00B7407D">
        <w:t xml:space="preserve">des références </w:t>
      </w:r>
      <w:r w:rsidR="000D3551">
        <w:t xml:space="preserve">institutionnelles, </w:t>
      </w:r>
      <w:r w:rsidR="00B7407D">
        <w:t>scientifiques</w:t>
      </w:r>
      <w:r w:rsidR="000D3551">
        <w:t xml:space="preserve"> et professionnelles</w:t>
      </w:r>
      <w:r w:rsidR="00B7407D">
        <w:t xml:space="preserve">. Il s’appuie aussi </w:t>
      </w:r>
      <w:r>
        <w:t>sur des écrits intermédiaires composés aux moments où le regard sur la pratique change. L’essentiel n’est pas tant la longueur et la fréquence de ces écrits que leur authenticité qui doit résulter d’un travail d’analyse portant sur des</w:t>
      </w:r>
      <w:r w:rsidR="00D70126">
        <w:t xml:space="preserve"> </w:t>
      </w:r>
      <w:r>
        <w:t>pratiques</w:t>
      </w:r>
      <w:r w:rsidR="00D70126">
        <w:t xml:space="preserve"> </w:t>
      </w:r>
      <w:r>
        <w:t xml:space="preserve">effectives. </w:t>
      </w:r>
    </w:p>
    <w:p w14:paraId="3CEC648C" w14:textId="63E3AAA3" w:rsidR="000B23BF" w:rsidRDefault="008059AE">
      <w:pPr>
        <w:ind w:left="-5" w:right="0"/>
      </w:pPr>
      <w:r>
        <w:t xml:space="preserve">Il est recommandé de profiter de toutes les occasions possibles pour construire sa réflexion sur la compétence professionnelle retenue. À titre d’exemple, on peut s’appuyer sur le bilan d’une réunion pédagogique, un entretien avec un élève ou la famille, un projet à mener (sortie scolaire), un bilan de séance ou de séquence, des notes à l’issue d’une visite du tuteur établissement, </w:t>
      </w:r>
      <w:r w:rsidR="00DA5CB8">
        <w:t>etc.</w:t>
      </w:r>
    </w:p>
    <w:p w14:paraId="009D5DEB" w14:textId="77777777" w:rsidR="005A4520" w:rsidRDefault="005A4520">
      <w:pPr>
        <w:ind w:left="-5" w:right="0"/>
      </w:pPr>
    </w:p>
    <w:p w14:paraId="26517FF1" w14:textId="77777777" w:rsidR="005A4520" w:rsidRDefault="005A4520">
      <w:pPr>
        <w:ind w:left="-5" w:right="0"/>
      </w:pPr>
    </w:p>
    <w:p w14:paraId="53DA2134" w14:textId="3028BFC4" w:rsidR="000B23BF" w:rsidRDefault="008059AE">
      <w:pPr>
        <w:ind w:left="-5" w:right="0"/>
      </w:pPr>
      <w:r>
        <w:lastRenderedPageBreak/>
        <w:t xml:space="preserve">Un regard particulier sera porté sur les capacités mises en œuvre pour aboutir aux transformations professionnelles présentées dans l’écrit et lors de l’entretien. Pour cela, une grille de « </w:t>
      </w:r>
      <w:r>
        <w:rPr>
          <w:i/>
        </w:rPr>
        <w:t>compétences mobilisées et visées</w:t>
      </w:r>
      <w:r>
        <w:t xml:space="preserve"> » est donnée ci-dessous. Elle est destinée à servir de cadre de référence pour le travail demandé. </w:t>
      </w:r>
    </w:p>
    <w:p w14:paraId="5A4AD451" w14:textId="77777777" w:rsidR="0062038A" w:rsidRDefault="0062038A" w:rsidP="00F078C6">
      <w:pPr>
        <w:spacing w:after="0" w:line="259" w:lineRule="auto"/>
        <w:ind w:left="0" w:right="0" w:firstLine="0"/>
        <w:jc w:val="left"/>
        <w:rPr>
          <w:b/>
          <w:bCs/>
        </w:rPr>
      </w:pPr>
    </w:p>
    <w:p w14:paraId="05364B5B" w14:textId="286C3570" w:rsidR="000B23BF" w:rsidRPr="00F078C6" w:rsidRDefault="00F078C6" w:rsidP="00F078C6">
      <w:pPr>
        <w:spacing w:after="0" w:line="259" w:lineRule="auto"/>
        <w:ind w:left="0" w:right="0" w:firstLine="0"/>
        <w:jc w:val="left"/>
        <w:rPr>
          <w:b/>
          <w:bCs/>
        </w:rPr>
      </w:pPr>
      <w:r w:rsidRPr="00F078C6">
        <w:rPr>
          <w:b/>
          <w:bCs/>
        </w:rPr>
        <w:t>C</w:t>
      </w:r>
      <w:r w:rsidR="008059AE" w:rsidRPr="00F078C6">
        <w:rPr>
          <w:b/>
          <w:bCs/>
        </w:rPr>
        <w:t xml:space="preserve">ompétences </w:t>
      </w:r>
    </w:p>
    <w:p w14:paraId="0EF58AE6" w14:textId="77777777" w:rsidR="000B23BF" w:rsidRDefault="008059AE">
      <w:pPr>
        <w:spacing w:after="0" w:line="259" w:lineRule="auto"/>
        <w:ind w:left="0" w:right="0" w:firstLine="0"/>
        <w:jc w:val="left"/>
      </w:pPr>
      <w:r>
        <w:rPr>
          <w:b/>
          <w:sz w:val="21"/>
        </w:rPr>
        <w:t xml:space="preserve"> </w:t>
      </w:r>
    </w:p>
    <w:tbl>
      <w:tblPr>
        <w:tblStyle w:val="TableGrid"/>
        <w:tblW w:w="9465" w:type="dxa"/>
        <w:tblInd w:w="-108" w:type="dxa"/>
        <w:tblCellMar>
          <w:top w:w="46" w:type="dxa"/>
          <w:left w:w="108" w:type="dxa"/>
          <w:right w:w="64" w:type="dxa"/>
        </w:tblCellMar>
        <w:tblLook w:val="04A0" w:firstRow="1" w:lastRow="0" w:firstColumn="1" w:lastColumn="0" w:noHBand="0" w:noVBand="1"/>
      </w:tblPr>
      <w:tblGrid>
        <w:gridCol w:w="4786"/>
        <w:gridCol w:w="4679"/>
      </w:tblGrid>
      <w:tr w:rsidR="000B23BF" w14:paraId="5562B28F" w14:textId="77777777">
        <w:trPr>
          <w:trHeight w:val="266"/>
        </w:trPr>
        <w:tc>
          <w:tcPr>
            <w:tcW w:w="4787" w:type="dxa"/>
            <w:tcBorders>
              <w:top w:val="single" w:sz="4" w:space="0" w:color="000000"/>
              <w:left w:val="single" w:sz="4" w:space="0" w:color="000000"/>
              <w:bottom w:val="single" w:sz="4" w:space="0" w:color="000000"/>
              <w:right w:val="single" w:sz="4" w:space="0" w:color="000000"/>
            </w:tcBorders>
          </w:tcPr>
          <w:p w14:paraId="7CDE4CCD" w14:textId="77777777" w:rsidR="000B23BF" w:rsidRDefault="008059AE">
            <w:pPr>
              <w:spacing w:after="0" w:line="259" w:lineRule="auto"/>
              <w:ind w:left="0" w:right="0" w:firstLine="0"/>
              <w:jc w:val="left"/>
            </w:pPr>
            <w:r>
              <w:rPr>
                <w:b/>
                <w:sz w:val="21"/>
              </w:rPr>
              <w:t xml:space="preserve">Compétences mobilisées  </w:t>
            </w:r>
          </w:p>
        </w:tc>
        <w:tc>
          <w:tcPr>
            <w:tcW w:w="4679" w:type="dxa"/>
            <w:tcBorders>
              <w:top w:val="single" w:sz="4" w:space="0" w:color="000000"/>
              <w:left w:val="single" w:sz="4" w:space="0" w:color="000000"/>
              <w:bottom w:val="single" w:sz="4" w:space="0" w:color="000000"/>
              <w:right w:val="single" w:sz="4" w:space="0" w:color="000000"/>
            </w:tcBorders>
          </w:tcPr>
          <w:p w14:paraId="77355DF7" w14:textId="77777777" w:rsidR="000B23BF" w:rsidRDefault="008059AE">
            <w:pPr>
              <w:spacing w:after="0" w:line="259" w:lineRule="auto"/>
              <w:ind w:left="2" w:right="0" w:firstLine="0"/>
              <w:jc w:val="left"/>
            </w:pPr>
            <w:r>
              <w:rPr>
                <w:b/>
                <w:sz w:val="21"/>
              </w:rPr>
              <w:t xml:space="preserve">Compétences visées  </w:t>
            </w:r>
          </w:p>
        </w:tc>
      </w:tr>
      <w:tr w:rsidR="000B23BF" w14:paraId="67CB4C94" w14:textId="77777777">
        <w:trPr>
          <w:trHeight w:val="1719"/>
        </w:trPr>
        <w:tc>
          <w:tcPr>
            <w:tcW w:w="4787" w:type="dxa"/>
            <w:tcBorders>
              <w:top w:val="single" w:sz="4" w:space="0" w:color="000000"/>
              <w:left w:val="single" w:sz="4" w:space="0" w:color="000000"/>
              <w:bottom w:val="single" w:sz="4" w:space="0" w:color="000000"/>
              <w:right w:val="single" w:sz="4" w:space="0" w:color="000000"/>
            </w:tcBorders>
          </w:tcPr>
          <w:p w14:paraId="4668EC18" w14:textId="77777777" w:rsidR="000B23BF" w:rsidRDefault="008059AE">
            <w:pPr>
              <w:spacing w:after="2" w:line="240" w:lineRule="auto"/>
              <w:ind w:left="0" w:right="0" w:firstLine="0"/>
            </w:pPr>
            <w:r>
              <w:rPr>
                <w:sz w:val="20"/>
              </w:rPr>
              <w:t xml:space="preserve">Dégager un questionnement professionnel en lien avec sa propre pratique </w:t>
            </w:r>
          </w:p>
          <w:p w14:paraId="42362DE2" w14:textId="77777777" w:rsidR="000B23BF" w:rsidRDefault="008059AE">
            <w:pPr>
              <w:spacing w:after="0" w:line="242" w:lineRule="auto"/>
              <w:ind w:left="0" w:right="0" w:firstLine="0"/>
            </w:pPr>
            <w:r>
              <w:rPr>
                <w:sz w:val="20"/>
              </w:rPr>
              <w:t xml:space="preserve">Expliciter, analyser, conceptualiser des points d’évolution de sa pratique professionnelle </w:t>
            </w:r>
          </w:p>
          <w:p w14:paraId="338B16C9" w14:textId="77777777" w:rsidR="000B23BF" w:rsidRDefault="008059AE">
            <w:pPr>
              <w:spacing w:after="0" w:line="242" w:lineRule="auto"/>
              <w:ind w:left="0" w:right="0" w:firstLine="0"/>
              <w:jc w:val="left"/>
            </w:pPr>
            <w:r>
              <w:rPr>
                <w:sz w:val="20"/>
              </w:rPr>
              <w:t xml:space="preserve">Identifier les compétences professionnelles mises en action </w:t>
            </w:r>
          </w:p>
          <w:p w14:paraId="79F5F522" w14:textId="77777777" w:rsidR="000B23BF" w:rsidRDefault="008059AE">
            <w:pPr>
              <w:spacing w:after="0" w:line="259" w:lineRule="auto"/>
              <w:ind w:left="0" w:right="0" w:firstLine="0"/>
              <w:jc w:val="left"/>
            </w:pPr>
            <w:r>
              <w:rPr>
                <w:sz w:val="20"/>
              </w:rPr>
              <w:t xml:space="preserve">Mobiliser différentes formes d’écriture professionnelle </w:t>
            </w:r>
          </w:p>
        </w:tc>
        <w:tc>
          <w:tcPr>
            <w:tcW w:w="4679" w:type="dxa"/>
            <w:tcBorders>
              <w:top w:val="single" w:sz="4" w:space="0" w:color="000000"/>
              <w:left w:val="single" w:sz="4" w:space="0" w:color="000000"/>
              <w:bottom w:val="single" w:sz="4" w:space="0" w:color="000000"/>
              <w:right w:val="single" w:sz="4" w:space="0" w:color="000000"/>
            </w:tcBorders>
          </w:tcPr>
          <w:p w14:paraId="6BCA0A91" w14:textId="1D7DB3FF" w:rsidR="000B23BF" w:rsidRDefault="008059AE" w:rsidP="00B7407D">
            <w:pPr>
              <w:spacing w:after="15" w:line="240" w:lineRule="auto"/>
              <w:ind w:left="2" w:right="0" w:firstLine="0"/>
              <w:jc w:val="left"/>
              <w:rPr>
                <w:sz w:val="20"/>
              </w:rPr>
            </w:pPr>
            <w:r>
              <w:rPr>
                <w:sz w:val="20"/>
              </w:rPr>
              <w:t xml:space="preserve">Identifier des éléments de transformation de sa pratique professionnelle </w:t>
            </w:r>
          </w:p>
          <w:p w14:paraId="7A6EF767" w14:textId="6A208918" w:rsidR="00B7407D" w:rsidRPr="00B7407D" w:rsidRDefault="00B7407D" w:rsidP="00B7407D">
            <w:pPr>
              <w:spacing w:after="15" w:line="240" w:lineRule="auto"/>
              <w:ind w:left="2" w:right="0" w:firstLine="0"/>
              <w:jc w:val="left"/>
              <w:rPr>
                <w:sz w:val="20"/>
                <w:szCs w:val="20"/>
              </w:rPr>
            </w:pPr>
            <w:r w:rsidRPr="00B7407D">
              <w:rPr>
                <w:sz w:val="20"/>
                <w:szCs w:val="20"/>
              </w:rPr>
              <w:t>Faire état de nouveaux savoirs professionnels contextualisés</w:t>
            </w:r>
          </w:p>
          <w:p w14:paraId="5C52992D" w14:textId="77777777" w:rsidR="000B23BF" w:rsidRDefault="008059AE" w:rsidP="00B7407D">
            <w:pPr>
              <w:spacing w:after="0" w:line="259" w:lineRule="auto"/>
              <w:ind w:left="2" w:right="45" w:firstLine="0"/>
              <w:jc w:val="left"/>
            </w:pPr>
            <w:r>
              <w:rPr>
                <w:sz w:val="20"/>
              </w:rPr>
              <w:t xml:space="preserve">Communiquer clairement et sans ambiguïté les conclusions des transformations professionnelles réalisées et leurs causes  </w:t>
            </w:r>
          </w:p>
        </w:tc>
      </w:tr>
    </w:tbl>
    <w:p w14:paraId="7D45C5EB" w14:textId="77777777" w:rsidR="000B23BF" w:rsidRDefault="008059AE">
      <w:pPr>
        <w:spacing w:after="0" w:line="259" w:lineRule="auto"/>
        <w:ind w:left="0" w:right="0" w:firstLine="0"/>
        <w:jc w:val="left"/>
      </w:pPr>
      <w:r>
        <w:rPr>
          <w:rFonts w:ascii="Times New Roman" w:eastAsia="Times New Roman" w:hAnsi="Times New Roman" w:cs="Times New Roman"/>
          <w:sz w:val="21"/>
        </w:rPr>
        <w:t xml:space="preserve"> </w:t>
      </w:r>
    </w:p>
    <w:p w14:paraId="2AC8B6DB" w14:textId="77777777" w:rsidR="00974C26" w:rsidRDefault="00974C26" w:rsidP="00974C26">
      <w:pPr>
        <w:ind w:left="-5" w:right="6"/>
      </w:pPr>
      <w:r>
        <w:t>L’entretien professionnel débouche sur une mise en avant du développement professionnel vécu et à venir, sur les leviers possibles des transformations futures.</w:t>
      </w:r>
      <w:r w:rsidRPr="00043F53">
        <w:t xml:space="preserve"> </w:t>
      </w:r>
      <w:r w:rsidRPr="00D611F3">
        <w:t xml:space="preserve">Il vise à nourrir </w:t>
      </w:r>
      <w:r>
        <w:t>le dossier de formation du fonctionnaire stagiaire en vue de la délivrance d’une certification par l’Université de Lorraine.</w:t>
      </w:r>
    </w:p>
    <w:p w14:paraId="62C7EC7F" w14:textId="77777777" w:rsidR="00974C26" w:rsidRDefault="00974C26" w:rsidP="00502437">
      <w:pPr>
        <w:tabs>
          <w:tab w:val="left" w:pos="1030"/>
        </w:tabs>
        <w:spacing w:after="0" w:line="259" w:lineRule="auto"/>
        <w:ind w:left="0" w:right="0" w:firstLine="0"/>
        <w:jc w:val="left"/>
        <w:rPr>
          <w:u w:val="single"/>
        </w:rPr>
      </w:pPr>
    </w:p>
    <w:p w14:paraId="34F2EA3F" w14:textId="79D6D867" w:rsidR="00C77E35" w:rsidRDefault="004E41D1" w:rsidP="00C77E35">
      <w:pPr>
        <w:spacing w:after="0" w:line="240" w:lineRule="auto"/>
        <w:ind w:left="0" w:right="0" w:firstLine="0"/>
        <w:jc w:val="left"/>
        <w:rPr>
          <w:rFonts w:asciiTheme="minorHAnsi" w:eastAsia="Times New Roman" w:hAnsiTheme="minorHAnsi" w:cstheme="minorHAnsi"/>
          <w:color w:val="auto"/>
        </w:rPr>
      </w:pPr>
      <w:r w:rsidRPr="004E41D1">
        <w:rPr>
          <w:u w:val="single"/>
        </w:rPr>
        <w:t>Les temps de formation à la préparation de l’entretien professionnel</w:t>
      </w:r>
      <w:r w:rsidRPr="004E41D1">
        <w:t xml:space="preserve"> </w:t>
      </w:r>
      <w:r w:rsidRPr="00C77E35">
        <w:rPr>
          <w:rFonts w:asciiTheme="minorHAnsi" w:hAnsiTheme="minorHAnsi" w:cstheme="minorHAnsi"/>
        </w:rPr>
        <w:t>sont</w:t>
      </w:r>
      <w:r w:rsidR="00C77E35" w:rsidRPr="00C77E35">
        <w:rPr>
          <w:rFonts w:asciiTheme="minorHAnsi" w:hAnsiTheme="minorHAnsi" w:cstheme="minorHAnsi"/>
        </w:rPr>
        <w:t xml:space="preserve"> </w:t>
      </w:r>
      <w:r w:rsidR="00C77E35" w:rsidRPr="00C77E35">
        <w:rPr>
          <w:rFonts w:asciiTheme="minorHAnsi" w:eastAsia="Times New Roman" w:hAnsiTheme="minorHAnsi" w:cstheme="minorHAnsi"/>
          <w:color w:val="auto"/>
        </w:rPr>
        <w:t>le</w:t>
      </w:r>
      <w:r w:rsidR="00C77E35">
        <w:rPr>
          <w:rFonts w:asciiTheme="minorHAnsi" w:eastAsia="Times New Roman" w:hAnsiTheme="minorHAnsi" w:cstheme="minorHAnsi"/>
          <w:color w:val="auto"/>
        </w:rPr>
        <w:t>s</w:t>
      </w:r>
      <w:r w:rsidR="00C77E35" w:rsidRPr="00C77E35">
        <w:rPr>
          <w:rFonts w:asciiTheme="minorHAnsi" w:eastAsia="Times New Roman" w:hAnsiTheme="minorHAnsi" w:cstheme="minorHAnsi"/>
          <w:color w:val="auto"/>
        </w:rPr>
        <w:t xml:space="preserve"> lundi</w:t>
      </w:r>
      <w:r w:rsidR="00C77E35">
        <w:rPr>
          <w:rFonts w:asciiTheme="minorHAnsi" w:eastAsia="Times New Roman" w:hAnsiTheme="minorHAnsi" w:cstheme="minorHAnsi"/>
          <w:color w:val="auto"/>
        </w:rPr>
        <w:t>s</w:t>
      </w:r>
      <w:r w:rsidR="00C77E35" w:rsidRPr="00C77E35">
        <w:rPr>
          <w:rFonts w:asciiTheme="minorHAnsi" w:eastAsia="Times New Roman" w:hAnsiTheme="minorHAnsi" w:cstheme="minorHAnsi"/>
          <w:color w:val="auto"/>
        </w:rPr>
        <w:t xml:space="preserve"> </w:t>
      </w:r>
      <w:r w:rsidR="00135076">
        <w:rPr>
          <w:rFonts w:asciiTheme="minorHAnsi" w:eastAsia="Times New Roman" w:hAnsiTheme="minorHAnsi" w:cstheme="minorHAnsi"/>
          <w:color w:val="auto"/>
        </w:rPr>
        <w:t>12</w:t>
      </w:r>
      <w:r w:rsidR="00C77E35" w:rsidRPr="00C77E35">
        <w:rPr>
          <w:rFonts w:asciiTheme="minorHAnsi" w:eastAsia="Times New Roman" w:hAnsiTheme="minorHAnsi" w:cstheme="minorHAnsi"/>
          <w:color w:val="auto"/>
        </w:rPr>
        <w:t xml:space="preserve"> octobre</w:t>
      </w:r>
      <w:r w:rsidR="00E936E9">
        <w:rPr>
          <w:rFonts w:asciiTheme="minorHAnsi" w:eastAsia="Times New Roman" w:hAnsiTheme="minorHAnsi" w:cstheme="minorHAnsi"/>
          <w:color w:val="auto"/>
        </w:rPr>
        <w:t xml:space="preserve"> et</w:t>
      </w:r>
      <w:r w:rsidR="00C77E35">
        <w:rPr>
          <w:rFonts w:asciiTheme="minorHAnsi" w:eastAsia="Times New Roman" w:hAnsiTheme="minorHAnsi" w:cstheme="minorHAnsi"/>
          <w:color w:val="auto"/>
        </w:rPr>
        <w:t xml:space="preserve"> </w:t>
      </w:r>
      <w:r w:rsidR="00C77E35" w:rsidRPr="00C77E35">
        <w:rPr>
          <w:rFonts w:asciiTheme="minorHAnsi" w:eastAsia="Times New Roman" w:hAnsiTheme="minorHAnsi" w:cstheme="minorHAnsi"/>
          <w:color w:val="auto"/>
        </w:rPr>
        <w:t>1</w:t>
      </w:r>
      <w:r w:rsidR="00135076">
        <w:rPr>
          <w:rFonts w:asciiTheme="minorHAnsi" w:eastAsia="Times New Roman" w:hAnsiTheme="minorHAnsi" w:cstheme="minorHAnsi"/>
          <w:color w:val="auto"/>
        </w:rPr>
        <w:t>6</w:t>
      </w:r>
      <w:r w:rsidR="00C77E35" w:rsidRPr="00C77E35">
        <w:rPr>
          <w:rFonts w:asciiTheme="minorHAnsi" w:eastAsia="Times New Roman" w:hAnsiTheme="minorHAnsi" w:cstheme="minorHAnsi"/>
          <w:color w:val="auto"/>
        </w:rPr>
        <w:t xml:space="preserve"> novembre</w:t>
      </w:r>
      <w:r w:rsidR="00135076">
        <w:rPr>
          <w:rFonts w:asciiTheme="minorHAnsi" w:eastAsia="Times New Roman" w:hAnsiTheme="minorHAnsi" w:cstheme="minorHAnsi"/>
          <w:color w:val="auto"/>
        </w:rPr>
        <w:t xml:space="preserve"> 202</w:t>
      </w:r>
      <w:r w:rsidR="00E936E9">
        <w:rPr>
          <w:rFonts w:asciiTheme="minorHAnsi" w:eastAsia="Times New Roman" w:hAnsiTheme="minorHAnsi" w:cstheme="minorHAnsi"/>
          <w:color w:val="auto"/>
        </w:rPr>
        <w:t>6</w:t>
      </w:r>
      <w:r w:rsidR="00C77E35">
        <w:rPr>
          <w:rFonts w:asciiTheme="minorHAnsi" w:eastAsia="Times New Roman" w:hAnsiTheme="minorHAnsi" w:cstheme="minorHAnsi"/>
          <w:color w:val="auto"/>
        </w:rPr>
        <w:t xml:space="preserve">, </w:t>
      </w:r>
      <w:r w:rsidR="00135076">
        <w:rPr>
          <w:rFonts w:asciiTheme="minorHAnsi" w:eastAsia="Times New Roman" w:hAnsiTheme="minorHAnsi" w:cstheme="minorHAnsi"/>
          <w:color w:val="auto"/>
        </w:rPr>
        <w:t>25 janvier</w:t>
      </w:r>
      <w:r w:rsidR="00E936E9">
        <w:rPr>
          <w:rFonts w:asciiTheme="minorHAnsi" w:eastAsia="Times New Roman" w:hAnsiTheme="minorHAnsi" w:cstheme="minorHAnsi"/>
          <w:color w:val="auto"/>
        </w:rPr>
        <w:t xml:space="preserve"> et</w:t>
      </w:r>
      <w:r w:rsidR="00C77E35">
        <w:rPr>
          <w:rFonts w:asciiTheme="minorHAnsi" w:eastAsia="Times New Roman" w:hAnsiTheme="minorHAnsi" w:cstheme="minorHAnsi"/>
          <w:color w:val="auto"/>
        </w:rPr>
        <w:t xml:space="preserve"> </w:t>
      </w:r>
      <w:r w:rsidR="00135076">
        <w:rPr>
          <w:rFonts w:asciiTheme="minorHAnsi" w:eastAsia="Times New Roman" w:hAnsiTheme="minorHAnsi" w:cstheme="minorHAnsi"/>
          <w:color w:val="auto"/>
        </w:rPr>
        <w:t>22</w:t>
      </w:r>
      <w:r w:rsidR="00C77E35" w:rsidRPr="00C77E35">
        <w:rPr>
          <w:rFonts w:asciiTheme="minorHAnsi" w:eastAsia="Times New Roman" w:hAnsiTheme="minorHAnsi" w:cstheme="minorHAnsi"/>
          <w:color w:val="auto"/>
        </w:rPr>
        <w:t xml:space="preserve"> mars</w:t>
      </w:r>
      <w:r w:rsidR="00C77E35">
        <w:rPr>
          <w:rFonts w:asciiTheme="minorHAnsi" w:eastAsia="Times New Roman" w:hAnsiTheme="minorHAnsi" w:cstheme="minorHAnsi"/>
          <w:color w:val="auto"/>
        </w:rPr>
        <w:t xml:space="preserve"> </w:t>
      </w:r>
      <w:r w:rsidR="00135076">
        <w:rPr>
          <w:rFonts w:asciiTheme="minorHAnsi" w:eastAsia="Times New Roman" w:hAnsiTheme="minorHAnsi" w:cstheme="minorHAnsi"/>
          <w:color w:val="auto"/>
        </w:rPr>
        <w:t>202</w:t>
      </w:r>
      <w:r w:rsidR="00E936E9">
        <w:rPr>
          <w:rFonts w:asciiTheme="minorHAnsi" w:eastAsia="Times New Roman" w:hAnsiTheme="minorHAnsi" w:cstheme="minorHAnsi"/>
          <w:color w:val="auto"/>
        </w:rPr>
        <w:t>7</w:t>
      </w:r>
      <w:r w:rsidR="00135076">
        <w:rPr>
          <w:rFonts w:asciiTheme="minorHAnsi" w:eastAsia="Times New Roman" w:hAnsiTheme="minorHAnsi" w:cstheme="minorHAnsi"/>
          <w:color w:val="auto"/>
        </w:rPr>
        <w:t xml:space="preserve"> </w:t>
      </w:r>
      <w:r w:rsidR="00C77E35">
        <w:rPr>
          <w:rFonts w:asciiTheme="minorHAnsi" w:eastAsia="Times New Roman" w:hAnsiTheme="minorHAnsi" w:cstheme="minorHAnsi"/>
          <w:color w:val="auto"/>
        </w:rPr>
        <w:t>de</w:t>
      </w:r>
      <w:r w:rsidR="00C77E35" w:rsidRPr="00C77E35">
        <w:rPr>
          <w:rFonts w:asciiTheme="minorHAnsi" w:eastAsia="Times New Roman" w:hAnsiTheme="minorHAnsi" w:cstheme="minorHAnsi"/>
          <w:color w:val="auto"/>
        </w:rPr>
        <w:t xml:space="preserve"> 16h00 </w:t>
      </w:r>
      <w:r w:rsidR="00C77E35">
        <w:rPr>
          <w:rFonts w:asciiTheme="minorHAnsi" w:eastAsia="Times New Roman" w:hAnsiTheme="minorHAnsi" w:cstheme="minorHAnsi"/>
          <w:color w:val="auto"/>
        </w:rPr>
        <w:t xml:space="preserve">à </w:t>
      </w:r>
      <w:r w:rsidR="00C77E35" w:rsidRPr="00C77E35">
        <w:rPr>
          <w:rFonts w:asciiTheme="minorHAnsi" w:eastAsia="Times New Roman" w:hAnsiTheme="minorHAnsi" w:cstheme="minorHAnsi"/>
          <w:color w:val="auto"/>
        </w:rPr>
        <w:t>17h30</w:t>
      </w:r>
      <w:r w:rsidR="00C77E35">
        <w:rPr>
          <w:rFonts w:asciiTheme="minorHAnsi" w:eastAsia="Times New Roman" w:hAnsiTheme="minorHAnsi" w:cstheme="minorHAnsi"/>
          <w:color w:val="auto"/>
        </w:rPr>
        <w:t xml:space="preserve"> en visioconférence.</w:t>
      </w:r>
    </w:p>
    <w:p w14:paraId="2915FEDD" w14:textId="77777777" w:rsidR="004E41D1" w:rsidRDefault="004E41D1" w:rsidP="00502437">
      <w:pPr>
        <w:tabs>
          <w:tab w:val="left" w:pos="1030"/>
        </w:tabs>
        <w:spacing w:after="0" w:line="259" w:lineRule="auto"/>
        <w:ind w:left="0" w:right="0" w:firstLine="0"/>
        <w:jc w:val="left"/>
      </w:pPr>
    </w:p>
    <w:p w14:paraId="6295AE37" w14:textId="77777777" w:rsidR="00804FE7" w:rsidRPr="00804FE7" w:rsidRDefault="00804FE7" w:rsidP="00804FE7">
      <w:pPr>
        <w:pStyle w:val="Corpsdetexte"/>
        <w:spacing w:before="48"/>
        <w:rPr>
          <w:b/>
          <w:bCs/>
          <w:color w:val="000000"/>
          <w:lang w:eastAsia="fr-FR"/>
        </w:rPr>
      </w:pPr>
      <w:r w:rsidRPr="00804FE7">
        <w:rPr>
          <w:b/>
          <w:bCs/>
          <w:color w:val="000000"/>
          <w:lang w:eastAsia="fr-FR"/>
        </w:rPr>
        <w:t xml:space="preserve">Procédure et calendrier </w:t>
      </w:r>
    </w:p>
    <w:p w14:paraId="72C922D3" w14:textId="45E4036D" w:rsidR="00B7407D" w:rsidRDefault="008059AE" w:rsidP="00B7407D">
      <w:pPr>
        <w:spacing w:after="0" w:line="259" w:lineRule="auto"/>
        <w:ind w:left="0" w:right="0" w:firstLine="0"/>
      </w:pPr>
      <w:r w:rsidRPr="00804FE7">
        <w:rPr>
          <w:u w:val="single"/>
        </w:rPr>
        <w:t>L’écrit professionnel</w:t>
      </w:r>
      <w:r>
        <w:t xml:space="preserve"> de 4 pages recto</w:t>
      </w:r>
      <w:r w:rsidR="007D1C64">
        <w:t xml:space="preserve">, </w:t>
      </w:r>
      <w:r w:rsidR="007D1C64" w:rsidRPr="00572516">
        <w:rPr>
          <w:color w:val="auto"/>
        </w:rPr>
        <w:t>ou tout autre support conforme au cadre défini ci-dessus</w:t>
      </w:r>
      <w:r w:rsidR="007D1C64" w:rsidRPr="00572516">
        <w:t>,</w:t>
      </w:r>
      <w:r w:rsidRPr="007D1C64">
        <w:t xml:space="preserve"> </w:t>
      </w:r>
      <w:r>
        <w:t xml:space="preserve">doit être remis avec une page de couverture comportant les nom et prénom du fonctionnaire-stagiaire, la discipline, l’établissement d’affectation et l’année universitaire. </w:t>
      </w:r>
    </w:p>
    <w:p w14:paraId="33A30292" w14:textId="4371A876" w:rsidR="000B23BF" w:rsidRDefault="008059AE" w:rsidP="00B7407D">
      <w:pPr>
        <w:spacing w:after="0" w:line="259" w:lineRule="auto"/>
        <w:ind w:left="0" w:right="0" w:firstLine="0"/>
      </w:pPr>
      <w:r>
        <w:t xml:space="preserve">Les annexes ne pourront dépasser 10 pages. </w:t>
      </w:r>
    </w:p>
    <w:p w14:paraId="0FA66C31" w14:textId="42B7F073" w:rsidR="000B23BF" w:rsidRDefault="008059AE" w:rsidP="00B7407D">
      <w:pPr>
        <w:ind w:left="-5" w:right="0"/>
      </w:pPr>
      <w:r>
        <w:t xml:space="preserve">L’écrit est déposé en format PDF sur Arche en utilisant le lien </w:t>
      </w:r>
      <w:r w:rsidR="00B7407D">
        <w:t xml:space="preserve">personnel unique </w:t>
      </w:r>
      <w:r>
        <w:t xml:space="preserve">reçu par mail </w:t>
      </w:r>
      <w:r w:rsidR="00804FE7">
        <w:t xml:space="preserve">dans la </w:t>
      </w:r>
      <w:r>
        <w:t>messagerie professionnelle</w:t>
      </w:r>
      <w:r w:rsidR="00804FE7">
        <w:t xml:space="preserve"> universitaire</w:t>
      </w:r>
      <w:r>
        <w:t xml:space="preserve">. </w:t>
      </w:r>
    </w:p>
    <w:p w14:paraId="7E913C69" w14:textId="570C9C20" w:rsidR="000B23BF" w:rsidRDefault="008059AE" w:rsidP="00B7407D">
      <w:pPr>
        <w:ind w:left="-5" w:right="0"/>
      </w:pPr>
      <w:r w:rsidRPr="00C77E35">
        <w:rPr>
          <w:u w:val="single"/>
        </w:rPr>
        <w:t>Date limite de dépôt</w:t>
      </w:r>
      <w:r>
        <w:t xml:space="preserve"> : </w:t>
      </w:r>
      <w:r w:rsidR="001C60CE">
        <w:t>17</w:t>
      </w:r>
      <w:r w:rsidR="003C648C" w:rsidRPr="00C77E35">
        <w:t xml:space="preserve"> mars 202</w:t>
      </w:r>
      <w:r w:rsidR="00135076">
        <w:t>7</w:t>
      </w:r>
      <w:r w:rsidR="003C648C" w:rsidRPr="00C77E35">
        <w:t xml:space="preserve"> </w:t>
      </w:r>
      <w:r w:rsidR="00E80D5D" w:rsidRPr="00C77E35">
        <w:t>à</w:t>
      </w:r>
      <w:r w:rsidR="00B7407D" w:rsidRPr="00C77E35">
        <w:t xml:space="preserve"> 18h00</w:t>
      </w:r>
      <w:r w:rsidR="00067BAC" w:rsidRPr="00C77E35">
        <w:t>.</w:t>
      </w:r>
    </w:p>
    <w:p w14:paraId="7CDE55CD" w14:textId="77777777" w:rsidR="00804FE7" w:rsidRDefault="00804FE7" w:rsidP="00B7407D">
      <w:pPr>
        <w:ind w:left="-5" w:right="0"/>
      </w:pPr>
    </w:p>
    <w:p w14:paraId="07892931" w14:textId="41BA39DA" w:rsidR="00804FE7" w:rsidRDefault="00804FE7" w:rsidP="00804FE7">
      <w:pPr>
        <w:ind w:left="-5" w:right="1948"/>
      </w:pPr>
      <w:r>
        <w:rPr>
          <w:u w:val="single" w:color="000000"/>
        </w:rPr>
        <w:t>Dates des entretiens</w:t>
      </w:r>
      <w:r>
        <w:t xml:space="preserve"> : </w:t>
      </w:r>
      <w:r w:rsidRPr="00C77E35">
        <w:t xml:space="preserve">les </w:t>
      </w:r>
      <w:r w:rsidR="00135076">
        <w:t>7</w:t>
      </w:r>
      <w:r w:rsidRPr="00C77E35">
        <w:t xml:space="preserve"> et </w:t>
      </w:r>
      <w:r w:rsidR="00135076">
        <w:t>14</w:t>
      </w:r>
      <w:r w:rsidRPr="00C77E35">
        <w:t xml:space="preserve"> avril 202</w:t>
      </w:r>
      <w:r w:rsidR="00135076">
        <w:t>7</w:t>
      </w:r>
      <w:r w:rsidRPr="00C77E35">
        <w:t xml:space="preserve"> de 08h30 à 17h00.</w:t>
      </w:r>
      <w:r>
        <w:t xml:space="preserve">  </w:t>
      </w:r>
    </w:p>
    <w:p w14:paraId="24C77338" w14:textId="4A56BEB0" w:rsidR="000B23BF" w:rsidRDefault="008059AE" w:rsidP="00B7407D">
      <w:pPr>
        <w:ind w:left="-5" w:right="0"/>
      </w:pPr>
      <w:r>
        <w:t>Après une présentation orale qui s’intéressera à la compétence du référentiel retenue, deux formateurs</w:t>
      </w:r>
      <w:r w:rsidR="00B7407D">
        <w:t xml:space="preserve"> </w:t>
      </w:r>
      <w:r>
        <w:t xml:space="preserve">s’entretiendront avec le fonctionnaire-stagiaire pour </w:t>
      </w:r>
      <w:r w:rsidR="00B7407D">
        <w:t xml:space="preserve">faire </w:t>
      </w:r>
      <w:r>
        <w:t xml:space="preserve">préciser </w:t>
      </w:r>
      <w:r w:rsidR="00B7407D">
        <w:t>le</w:t>
      </w:r>
      <w:r>
        <w:t xml:space="preserve"> propos ou pour ouvrir le débat.  </w:t>
      </w:r>
    </w:p>
    <w:p w14:paraId="129BF48D" w14:textId="77777777" w:rsidR="000B23BF" w:rsidRDefault="008059AE" w:rsidP="00B7407D">
      <w:pPr>
        <w:ind w:left="-5" w:right="0"/>
      </w:pPr>
      <w:r>
        <w:rPr>
          <w:u w:val="single" w:color="000000"/>
        </w:rPr>
        <w:t>Temps de présentation</w:t>
      </w:r>
      <w:r>
        <w:t xml:space="preserve"> : 10 minutes ; temps d’échanges : 15 minutes. </w:t>
      </w:r>
    </w:p>
    <w:p w14:paraId="76843F8C" w14:textId="4FE98A75" w:rsidR="00B7407D" w:rsidRDefault="00B7407D" w:rsidP="00DA5CB8">
      <w:pPr>
        <w:ind w:left="-5" w:right="-420"/>
      </w:pPr>
      <w:r>
        <w:rPr>
          <w:u w:val="single" w:color="000000"/>
        </w:rPr>
        <w:t>Lieu</w:t>
      </w:r>
      <w:r w:rsidR="00B75692">
        <w:rPr>
          <w:u w:val="single" w:color="000000"/>
        </w:rPr>
        <w:t>x</w:t>
      </w:r>
      <w:r>
        <w:rPr>
          <w:u w:val="single" w:color="000000"/>
        </w:rPr>
        <w:t xml:space="preserve"> des entretiens </w:t>
      </w:r>
      <w:r w:rsidRPr="00B7407D">
        <w:t>:</w:t>
      </w:r>
      <w:r>
        <w:t xml:space="preserve"> </w:t>
      </w:r>
      <w:r w:rsidR="00B75692">
        <w:t xml:space="preserve">site </w:t>
      </w:r>
      <w:r w:rsidR="00974C26">
        <w:t xml:space="preserve">de </w:t>
      </w:r>
      <w:r>
        <w:t>Maxéville</w:t>
      </w:r>
      <w:r w:rsidR="00B75692">
        <w:t xml:space="preserve"> ou site </w:t>
      </w:r>
      <w:r w:rsidR="00974C26">
        <w:t xml:space="preserve">de </w:t>
      </w:r>
      <w:r w:rsidR="00B75692">
        <w:t>Montigny-lès-Metz</w:t>
      </w:r>
      <w:r w:rsidR="00974C26">
        <w:t xml:space="preserve"> de l’INSPÉ de Lorraine</w:t>
      </w:r>
      <w:r w:rsidR="00DA5CB8">
        <w:t>.</w:t>
      </w:r>
    </w:p>
    <w:p w14:paraId="04018A76" w14:textId="5CAC6567" w:rsidR="000B23BF" w:rsidRDefault="008059AE" w:rsidP="00DA5CB8">
      <w:pPr>
        <w:ind w:left="-5" w:right="6"/>
      </w:pPr>
      <w:r>
        <w:t xml:space="preserve">Une convocation vous sera adressée </w:t>
      </w:r>
      <w:r w:rsidR="00804FE7">
        <w:t xml:space="preserve">par l’INSPÉ </w:t>
      </w:r>
      <w:r>
        <w:t xml:space="preserve">par mail </w:t>
      </w:r>
      <w:r w:rsidR="00804FE7">
        <w:t>dans</w:t>
      </w:r>
      <w:r w:rsidR="00804FE7">
        <w:rPr>
          <w:spacing w:val="-12"/>
        </w:rPr>
        <w:t xml:space="preserve"> </w:t>
      </w:r>
      <w:r w:rsidR="00804FE7">
        <w:t>la</w:t>
      </w:r>
      <w:r w:rsidR="00804FE7">
        <w:rPr>
          <w:spacing w:val="-13"/>
        </w:rPr>
        <w:t xml:space="preserve"> </w:t>
      </w:r>
      <w:r w:rsidR="00804FE7">
        <w:t>messagerie</w:t>
      </w:r>
      <w:r w:rsidR="00804FE7">
        <w:rPr>
          <w:spacing w:val="-12"/>
        </w:rPr>
        <w:t xml:space="preserve"> </w:t>
      </w:r>
      <w:r w:rsidR="00804FE7">
        <w:t xml:space="preserve">professionnelle universitaire </w:t>
      </w:r>
      <w:r w:rsidR="00B7407D">
        <w:t>dans le courant du mois de</w:t>
      </w:r>
      <w:r>
        <w:t xml:space="preserve"> mars</w:t>
      </w:r>
      <w:r w:rsidR="00804FE7">
        <w:t xml:space="preserve"> 202</w:t>
      </w:r>
      <w:r w:rsidR="00135076">
        <w:t>7</w:t>
      </w:r>
      <w:r>
        <w:t xml:space="preserve">. </w:t>
      </w:r>
    </w:p>
    <w:p w14:paraId="2549579D" w14:textId="31049D3C" w:rsidR="00A15DCC" w:rsidRDefault="00A15DCC" w:rsidP="00DA5CB8">
      <w:pPr>
        <w:ind w:left="-5" w:right="6"/>
      </w:pPr>
    </w:p>
    <w:p w14:paraId="4A297E0C" w14:textId="7C2566B9" w:rsidR="000B23BF" w:rsidRDefault="000B23BF">
      <w:pPr>
        <w:spacing w:after="0" w:line="259" w:lineRule="auto"/>
        <w:ind w:left="0" w:right="0" w:firstLine="0"/>
        <w:jc w:val="left"/>
      </w:pPr>
    </w:p>
    <w:p w14:paraId="4F08A0AC" w14:textId="77777777" w:rsidR="00804FE7" w:rsidRDefault="00804FE7" w:rsidP="00804FE7">
      <w:pPr>
        <w:pStyle w:val="Corpsdetexte"/>
        <w:spacing w:before="15" w:line="252" w:lineRule="auto"/>
        <w:ind w:left="202" w:right="51"/>
        <w:jc w:val="center"/>
        <w:rPr>
          <w:b/>
          <w:bCs/>
          <w:highlight w:val="yellow"/>
        </w:rPr>
      </w:pPr>
    </w:p>
    <w:p w14:paraId="22084052" w14:textId="427AB93B" w:rsidR="00804FE7" w:rsidRPr="00C77E35" w:rsidRDefault="00804FE7" w:rsidP="00804FE7">
      <w:pPr>
        <w:pStyle w:val="Corpsdetexte"/>
        <w:spacing w:before="15" w:line="252" w:lineRule="auto"/>
        <w:ind w:left="202" w:right="51"/>
        <w:jc w:val="center"/>
        <w:rPr>
          <w:sz w:val="24"/>
          <w:szCs w:val="24"/>
        </w:rPr>
      </w:pPr>
      <w:r w:rsidRPr="00C77E35">
        <w:rPr>
          <w:sz w:val="24"/>
          <w:szCs w:val="24"/>
        </w:rPr>
        <w:t>La seule adresse réglementaire utilisée pour la communication institutionnelle concernant l</w:t>
      </w:r>
      <w:r w:rsidR="001160DA" w:rsidRPr="00C77E35">
        <w:rPr>
          <w:sz w:val="24"/>
          <w:szCs w:val="24"/>
        </w:rPr>
        <w:t>’</w:t>
      </w:r>
      <w:r w:rsidRPr="00C77E35">
        <w:rPr>
          <w:sz w:val="24"/>
          <w:szCs w:val="24"/>
        </w:rPr>
        <w:t xml:space="preserve">entretien professionnel et la </w:t>
      </w:r>
      <w:r w:rsidR="001160DA" w:rsidRPr="00C77E35">
        <w:rPr>
          <w:sz w:val="24"/>
          <w:szCs w:val="24"/>
        </w:rPr>
        <w:t>certification par l’Université</w:t>
      </w:r>
      <w:r w:rsidRPr="00C77E35">
        <w:rPr>
          <w:sz w:val="24"/>
          <w:szCs w:val="24"/>
        </w:rPr>
        <w:t xml:space="preserve"> est l’adresse universitaire </w:t>
      </w:r>
    </w:p>
    <w:p w14:paraId="4B317E27" w14:textId="35040599" w:rsidR="00804FE7" w:rsidRDefault="00C77E35" w:rsidP="00804FE7">
      <w:pPr>
        <w:pStyle w:val="Corpsdetexte"/>
        <w:spacing w:before="15" w:line="252" w:lineRule="auto"/>
        <w:ind w:left="202" w:right="51"/>
        <w:jc w:val="center"/>
        <w:rPr>
          <w:sz w:val="24"/>
          <w:szCs w:val="24"/>
        </w:rPr>
      </w:pPr>
      <w:r>
        <w:rPr>
          <w:sz w:val="24"/>
          <w:szCs w:val="24"/>
        </w:rPr>
        <w:t>(…</w:t>
      </w:r>
      <w:r w:rsidR="00804FE7" w:rsidRPr="00C77E35">
        <w:rPr>
          <w:sz w:val="24"/>
          <w:szCs w:val="24"/>
        </w:rPr>
        <w:t>etu.univ-lorraine.fr</w:t>
      </w:r>
      <w:r>
        <w:rPr>
          <w:sz w:val="24"/>
          <w:szCs w:val="24"/>
        </w:rPr>
        <w:t>)</w:t>
      </w:r>
    </w:p>
    <w:p w14:paraId="76578982" w14:textId="346D4228" w:rsidR="00C77E35" w:rsidRPr="00804FE7" w:rsidRDefault="00C77E35" w:rsidP="00804FE7">
      <w:pPr>
        <w:pStyle w:val="Corpsdetexte"/>
        <w:spacing w:before="15" w:line="252" w:lineRule="auto"/>
        <w:ind w:left="202" w:right="51"/>
        <w:jc w:val="center"/>
        <w:rPr>
          <w:sz w:val="24"/>
          <w:szCs w:val="24"/>
        </w:rPr>
      </w:pPr>
      <w:r>
        <w:rPr>
          <w:sz w:val="24"/>
          <w:szCs w:val="24"/>
        </w:rPr>
        <w:t>Il convient d’activer son compte Sésame.</w:t>
      </w:r>
    </w:p>
    <w:p w14:paraId="41E2B1E8" w14:textId="1E4DA380" w:rsidR="000254ED" w:rsidRDefault="000254ED">
      <w:pPr>
        <w:spacing w:after="0" w:line="259" w:lineRule="auto"/>
        <w:ind w:left="0" w:right="0" w:firstLine="0"/>
        <w:jc w:val="left"/>
      </w:pPr>
    </w:p>
    <w:p w14:paraId="2E357861" w14:textId="5457DD68" w:rsidR="00F078C6" w:rsidRDefault="00F078C6">
      <w:pPr>
        <w:spacing w:after="0" w:line="259" w:lineRule="auto"/>
        <w:ind w:left="0" w:right="0" w:firstLine="0"/>
        <w:jc w:val="left"/>
      </w:pPr>
    </w:p>
    <w:p w14:paraId="49D5B326" w14:textId="2646A6E0" w:rsidR="00F078C6" w:rsidRDefault="00F078C6">
      <w:pPr>
        <w:spacing w:after="0" w:line="259" w:lineRule="auto"/>
        <w:ind w:left="0" w:right="0" w:firstLine="0"/>
        <w:jc w:val="left"/>
      </w:pPr>
    </w:p>
    <w:p w14:paraId="270D21FF" w14:textId="77777777" w:rsidR="00F73DF7" w:rsidRDefault="00F73DF7" w:rsidP="00F73DF7">
      <w:pPr>
        <w:spacing w:after="235" w:line="259" w:lineRule="auto"/>
        <w:ind w:left="0" w:firstLine="0"/>
        <w:rPr>
          <w:color w:val="DF6F6F"/>
          <w:sz w:val="30"/>
        </w:rPr>
        <w:sectPr w:rsidR="00F73DF7" w:rsidSect="0062038A">
          <w:footerReference w:type="default" r:id="rId8"/>
          <w:pgSz w:w="11906" w:h="16838"/>
          <w:pgMar w:top="1135" w:right="1412" w:bottom="712" w:left="1416" w:header="720" w:footer="720" w:gutter="0"/>
          <w:cols w:space="720"/>
          <w:docGrid w:linePitch="299"/>
        </w:sectPr>
      </w:pPr>
    </w:p>
    <w:p w14:paraId="43532B62" w14:textId="77A8F007" w:rsidR="000254ED" w:rsidRPr="005A4520" w:rsidRDefault="000254ED" w:rsidP="000254ED">
      <w:pPr>
        <w:spacing w:after="235" w:line="259" w:lineRule="auto"/>
        <w:rPr>
          <w:color w:val="auto"/>
          <w:sz w:val="30"/>
        </w:rPr>
      </w:pPr>
      <w:r w:rsidRPr="005A4520">
        <w:rPr>
          <w:color w:val="auto"/>
          <w:sz w:val="30"/>
        </w:rPr>
        <w:lastRenderedPageBreak/>
        <w:t>Annexe 1</w:t>
      </w:r>
    </w:p>
    <w:p w14:paraId="61064084" w14:textId="7A69AE5D" w:rsidR="000254ED" w:rsidRPr="00463DE8" w:rsidRDefault="000254ED" w:rsidP="000254ED">
      <w:pPr>
        <w:spacing w:after="235" w:line="259" w:lineRule="auto"/>
        <w:rPr>
          <w:color w:val="auto"/>
          <w:sz w:val="30"/>
        </w:rPr>
      </w:pPr>
      <w:r w:rsidRPr="00463DE8">
        <w:rPr>
          <w:color w:val="auto"/>
          <w:sz w:val="30"/>
        </w:rPr>
        <w:t>Les trois blocs de compétences professionnelles – Professeur de collège et lycée</w:t>
      </w:r>
    </w:p>
    <w:p w14:paraId="47E5FF63" w14:textId="77777777" w:rsidR="000254ED" w:rsidRPr="00D46D71" w:rsidRDefault="000254ED" w:rsidP="000254ED">
      <w:pPr>
        <w:spacing w:line="259" w:lineRule="auto"/>
      </w:pPr>
      <w:r w:rsidRPr="00D46D71">
        <w:rPr>
          <w:rFonts w:ascii="Arial" w:eastAsia="Arial" w:hAnsi="Arial" w:cs="Arial"/>
          <w:b/>
        </w:rPr>
        <w:t xml:space="preserve"> </w:t>
      </w:r>
    </w:p>
    <w:p w14:paraId="5D836755" w14:textId="655B2491" w:rsidR="000254ED" w:rsidRPr="001773B8" w:rsidRDefault="000254ED" w:rsidP="000254ED">
      <w:pPr>
        <w:pStyle w:val="Titre2"/>
        <w:tabs>
          <w:tab w:val="center" w:pos="3008"/>
          <w:tab w:val="center" w:pos="8392"/>
          <w:tab w:val="center" w:pos="13284"/>
        </w:tabs>
        <w:ind w:left="0"/>
      </w:pPr>
      <w:r w:rsidRPr="00D46D71">
        <w:rPr>
          <w:rFonts w:ascii="Calibri" w:eastAsia="Calibri" w:hAnsi="Calibri" w:cs="Calibri"/>
          <w:sz w:val="22"/>
        </w:rPr>
        <w:tab/>
      </w:r>
      <w:r>
        <w:rPr>
          <w:rFonts w:ascii="Calibri" w:eastAsia="Calibri" w:hAnsi="Calibri" w:cs="Calibri"/>
          <w:sz w:val="22"/>
        </w:rPr>
        <w:tab/>
      </w:r>
      <w:r w:rsidRPr="001773B8">
        <w:t xml:space="preserve">BC1 </w:t>
      </w:r>
      <w:r w:rsidRPr="001773B8">
        <w:tab/>
        <w:t xml:space="preserve">BC2 </w:t>
      </w:r>
      <w:r w:rsidRPr="001773B8">
        <w:tab/>
        <w:t xml:space="preserve">BC3 </w:t>
      </w:r>
    </w:p>
    <w:p w14:paraId="15201713" w14:textId="77777777" w:rsidR="000254ED" w:rsidRPr="001773B8" w:rsidRDefault="000254ED" w:rsidP="000254ED">
      <w:pPr>
        <w:spacing w:after="81" w:line="259" w:lineRule="auto"/>
        <w:jc w:val="right"/>
      </w:pPr>
      <w:r>
        <w:rPr>
          <w:noProof/>
        </w:rPr>
        <w:drawing>
          <wp:inline distT="0" distB="0" distL="0" distR="0" wp14:anchorId="096B5DA2" wp14:editId="76F3C319">
            <wp:extent cx="9937877" cy="4123690"/>
            <wp:effectExtent l="0" t="0" r="0" b="0"/>
            <wp:docPr id="2045" name="Picture 2045"/>
            <wp:cNvGraphicFramePr/>
            <a:graphic xmlns:a="http://schemas.openxmlformats.org/drawingml/2006/main">
              <a:graphicData uri="http://schemas.openxmlformats.org/drawingml/2006/picture">
                <pic:pic xmlns:pic="http://schemas.openxmlformats.org/drawingml/2006/picture">
                  <pic:nvPicPr>
                    <pic:cNvPr id="2045" name="Picture 2045"/>
                    <pic:cNvPicPr/>
                  </pic:nvPicPr>
                  <pic:blipFill>
                    <a:blip r:embed="rId9"/>
                    <a:stretch>
                      <a:fillRect/>
                    </a:stretch>
                  </pic:blipFill>
                  <pic:spPr>
                    <a:xfrm>
                      <a:off x="0" y="0"/>
                      <a:ext cx="9937877" cy="4123690"/>
                    </a:xfrm>
                    <a:prstGeom prst="rect">
                      <a:avLst/>
                    </a:prstGeom>
                  </pic:spPr>
                </pic:pic>
              </a:graphicData>
            </a:graphic>
          </wp:inline>
        </w:drawing>
      </w:r>
      <w:r w:rsidRPr="001773B8">
        <w:rPr>
          <w:rFonts w:ascii="Arial" w:eastAsia="Arial" w:hAnsi="Arial" w:cs="Arial"/>
          <w:sz w:val="20"/>
        </w:rPr>
        <w:t xml:space="preserve"> </w:t>
      </w:r>
    </w:p>
    <w:p w14:paraId="0B21FCA9" w14:textId="77777777" w:rsidR="000254ED" w:rsidRPr="00D46D71" w:rsidRDefault="000254ED" w:rsidP="000254ED">
      <w:pPr>
        <w:spacing w:after="389"/>
        <w:ind w:left="530"/>
      </w:pPr>
      <w:r w:rsidRPr="00D46D71">
        <w:rPr>
          <w:rFonts w:ascii="Arial" w:eastAsia="Arial" w:hAnsi="Arial" w:cs="Arial"/>
          <w:sz w:val="18"/>
        </w:rPr>
        <w:t xml:space="preserve">Référentiel </w:t>
      </w:r>
      <w:r w:rsidRPr="00D46D71">
        <w:rPr>
          <w:rFonts w:ascii="Arial" w:eastAsia="Arial" w:hAnsi="Arial" w:cs="Arial"/>
          <w:i/>
          <w:sz w:val="18"/>
        </w:rPr>
        <w:t>Former aux métiers du professorat et de l’éducation au 21</w:t>
      </w:r>
      <w:r w:rsidRPr="00D46D71">
        <w:rPr>
          <w:rFonts w:ascii="Arial" w:eastAsia="Arial" w:hAnsi="Arial" w:cs="Arial"/>
          <w:i/>
          <w:sz w:val="18"/>
          <w:vertAlign w:val="superscript"/>
        </w:rPr>
        <w:t xml:space="preserve">e </w:t>
      </w:r>
      <w:r w:rsidRPr="00D46D71">
        <w:rPr>
          <w:rFonts w:ascii="Arial" w:eastAsia="Arial" w:hAnsi="Arial" w:cs="Arial"/>
          <w:i/>
          <w:sz w:val="18"/>
        </w:rPr>
        <w:t xml:space="preserve">siècle </w:t>
      </w:r>
      <w:r w:rsidRPr="00D46D71">
        <w:rPr>
          <w:rFonts w:ascii="Arial" w:eastAsia="Arial" w:hAnsi="Arial" w:cs="Arial"/>
          <w:color w:val="0562C1"/>
          <w:sz w:val="18"/>
          <w:u w:val="single" w:color="0562C1"/>
        </w:rPr>
        <w:t>https:</w:t>
      </w:r>
      <w:hyperlink r:id="rId10">
        <w:r w:rsidRPr="00D46D71">
          <w:rPr>
            <w:rFonts w:ascii="Arial" w:eastAsia="Arial" w:hAnsi="Arial" w:cs="Arial"/>
            <w:color w:val="0562C1"/>
            <w:sz w:val="18"/>
            <w:u w:val="single" w:color="0562C1"/>
          </w:rPr>
          <w:t>//www.devenirenseignant.gouv.fr/cid142150/former</w:t>
        </w:r>
      </w:hyperlink>
      <w:hyperlink r:id="rId11">
        <w:r w:rsidRPr="00D46D71">
          <w:rPr>
            <w:rFonts w:ascii="Arial" w:eastAsia="Arial" w:hAnsi="Arial" w:cs="Arial"/>
            <w:color w:val="0562C1"/>
            <w:sz w:val="18"/>
            <w:u w:val="single" w:color="0562C1"/>
          </w:rPr>
          <w:t>-</w:t>
        </w:r>
      </w:hyperlink>
      <w:hyperlink r:id="rId12">
        <w:r w:rsidRPr="00D46D71">
          <w:rPr>
            <w:rFonts w:ascii="Arial" w:eastAsia="Arial" w:hAnsi="Arial" w:cs="Arial"/>
            <w:color w:val="0562C1"/>
            <w:sz w:val="18"/>
            <w:u w:val="single" w:color="0562C1"/>
          </w:rPr>
          <w:t>aux</w:t>
        </w:r>
      </w:hyperlink>
      <w:hyperlink r:id="rId13">
        <w:r w:rsidRPr="00D46D71">
          <w:rPr>
            <w:rFonts w:ascii="Arial" w:eastAsia="Arial" w:hAnsi="Arial" w:cs="Arial"/>
            <w:color w:val="0562C1"/>
            <w:sz w:val="18"/>
            <w:u w:val="single" w:color="0562C1"/>
          </w:rPr>
          <w:t>-</w:t>
        </w:r>
      </w:hyperlink>
      <w:hyperlink r:id="rId14">
        <w:r w:rsidRPr="00D46D71">
          <w:rPr>
            <w:rFonts w:ascii="Arial" w:eastAsia="Arial" w:hAnsi="Arial" w:cs="Arial"/>
            <w:color w:val="0562C1"/>
            <w:sz w:val="18"/>
            <w:u w:val="single" w:color="0562C1"/>
          </w:rPr>
          <w:t>metiers</w:t>
        </w:r>
      </w:hyperlink>
      <w:hyperlink r:id="rId15">
        <w:r w:rsidRPr="00D46D71">
          <w:rPr>
            <w:rFonts w:ascii="Arial" w:eastAsia="Arial" w:hAnsi="Arial" w:cs="Arial"/>
            <w:color w:val="0562C1"/>
            <w:sz w:val="18"/>
            <w:u w:val="single" w:color="0562C1"/>
          </w:rPr>
          <w:t>-</w:t>
        </w:r>
      </w:hyperlink>
      <w:hyperlink r:id="rId16">
        <w:r w:rsidRPr="00D46D71">
          <w:rPr>
            <w:rFonts w:ascii="Arial" w:eastAsia="Arial" w:hAnsi="Arial" w:cs="Arial"/>
            <w:color w:val="0562C1"/>
            <w:sz w:val="18"/>
            <w:u w:val="single" w:color="0562C1"/>
          </w:rPr>
          <w:t>du</w:t>
        </w:r>
      </w:hyperlink>
      <w:hyperlink r:id="rId17">
        <w:r w:rsidRPr="00D46D71">
          <w:rPr>
            <w:rFonts w:ascii="Arial" w:eastAsia="Arial" w:hAnsi="Arial" w:cs="Arial"/>
            <w:color w:val="0562C1"/>
            <w:sz w:val="18"/>
            <w:u w:val="single" w:color="0562C1"/>
          </w:rPr>
          <w:t>-</w:t>
        </w:r>
      </w:hyperlink>
      <w:hyperlink r:id="rId18">
        <w:r w:rsidRPr="00D46D71">
          <w:rPr>
            <w:rFonts w:ascii="Arial" w:eastAsia="Arial" w:hAnsi="Arial" w:cs="Arial"/>
            <w:color w:val="0562C1"/>
            <w:sz w:val="18"/>
            <w:u w:val="single" w:color="0562C1"/>
          </w:rPr>
          <w:t>professorat</w:t>
        </w:r>
      </w:hyperlink>
      <w:hyperlink r:id="rId19">
        <w:r w:rsidRPr="00D46D71">
          <w:rPr>
            <w:rFonts w:ascii="Arial" w:eastAsia="Arial" w:hAnsi="Arial" w:cs="Arial"/>
            <w:color w:val="0562C1"/>
            <w:sz w:val="18"/>
            <w:u w:val="single" w:color="0562C1"/>
          </w:rPr>
          <w:t>-</w:t>
        </w:r>
      </w:hyperlink>
      <w:hyperlink r:id="rId20">
        <w:r w:rsidRPr="00D46D71">
          <w:rPr>
            <w:rFonts w:ascii="Arial" w:eastAsia="Arial" w:hAnsi="Arial" w:cs="Arial"/>
            <w:color w:val="0562C1"/>
            <w:sz w:val="18"/>
            <w:u w:val="single" w:color="0562C1"/>
          </w:rPr>
          <w:t>et</w:t>
        </w:r>
      </w:hyperlink>
      <w:hyperlink r:id="rId21">
        <w:r w:rsidRPr="00D46D71">
          <w:rPr>
            <w:rFonts w:ascii="Arial" w:eastAsia="Arial" w:hAnsi="Arial" w:cs="Arial"/>
            <w:color w:val="0562C1"/>
            <w:sz w:val="18"/>
            <w:u w:val="single" w:color="0562C1"/>
          </w:rPr>
          <w:t>-</w:t>
        </w:r>
      </w:hyperlink>
      <w:hyperlink r:id="rId22">
        <w:r w:rsidRPr="00D46D71">
          <w:rPr>
            <w:rFonts w:ascii="Arial" w:eastAsia="Arial" w:hAnsi="Arial" w:cs="Arial"/>
            <w:color w:val="0562C1"/>
            <w:sz w:val="18"/>
            <w:u w:val="single" w:color="0562C1"/>
          </w:rPr>
          <w:t>de</w:t>
        </w:r>
      </w:hyperlink>
      <w:hyperlink r:id="rId23">
        <w:r w:rsidRPr="00D46D71">
          <w:rPr>
            <w:rFonts w:ascii="Arial" w:eastAsia="Arial" w:hAnsi="Arial" w:cs="Arial"/>
            <w:color w:val="0562C1"/>
            <w:sz w:val="18"/>
            <w:u w:val="single" w:color="0562C1"/>
          </w:rPr>
          <w:t>-</w:t>
        </w:r>
      </w:hyperlink>
      <w:hyperlink r:id="rId24">
        <w:r w:rsidRPr="00D46D71">
          <w:rPr>
            <w:rFonts w:ascii="Arial" w:eastAsia="Arial" w:hAnsi="Arial" w:cs="Arial"/>
            <w:color w:val="0562C1"/>
            <w:sz w:val="18"/>
            <w:u w:val="single" w:color="0562C1"/>
          </w:rPr>
          <w:t>l</w:t>
        </w:r>
      </w:hyperlink>
      <w:hyperlink r:id="rId25">
        <w:r w:rsidRPr="00D46D71">
          <w:rPr>
            <w:rFonts w:ascii="Arial" w:eastAsia="Arial" w:hAnsi="Arial" w:cs="Arial"/>
            <w:color w:val="0562C1"/>
            <w:sz w:val="18"/>
            <w:u w:val="single" w:color="0562C1"/>
          </w:rPr>
          <w:t>-</w:t>
        </w:r>
      </w:hyperlink>
      <w:hyperlink r:id="rId26">
        <w:r w:rsidRPr="00D46D71">
          <w:rPr>
            <w:rFonts w:ascii="Arial" w:eastAsia="Arial" w:hAnsi="Arial" w:cs="Arial"/>
            <w:color w:val="0562C1"/>
            <w:sz w:val="18"/>
            <w:u w:val="single" w:color="0562C1"/>
          </w:rPr>
          <w:t>education</w:t>
        </w:r>
      </w:hyperlink>
      <w:hyperlink r:id="rId27">
        <w:r w:rsidRPr="00D46D71">
          <w:rPr>
            <w:rFonts w:ascii="Arial" w:eastAsia="Arial" w:hAnsi="Arial" w:cs="Arial"/>
            <w:color w:val="0562C1"/>
            <w:sz w:val="18"/>
            <w:u w:val="single" w:color="0562C1"/>
          </w:rPr>
          <w:t>-</w:t>
        </w:r>
      </w:hyperlink>
      <w:hyperlink r:id="rId28">
        <w:r w:rsidRPr="00D46D71">
          <w:rPr>
            <w:rFonts w:ascii="Arial" w:eastAsia="Arial" w:hAnsi="Arial" w:cs="Arial"/>
            <w:color w:val="0562C1"/>
            <w:sz w:val="18"/>
            <w:u w:val="single" w:color="0562C1"/>
          </w:rPr>
          <w:t>au</w:t>
        </w:r>
      </w:hyperlink>
      <w:hyperlink r:id="rId29">
        <w:r w:rsidRPr="00D46D71">
          <w:rPr>
            <w:rFonts w:ascii="Arial" w:eastAsia="Arial" w:hAnsi="Arial" w:cs="Arial"/>
            <w:color w:val="0562C1"/>
            <w:sz w:val="18"/>
            <w:u w:val="single" w:color="0562C1"/>
          </w:rPr>
          <w:t>-</w:t>
        </w:r>
      </w:hyperlink>
      <w:hyperlink r:id="rId30">
        <w:r w:rsidRPr="00D46D71">
          <w:rPr>
            <w:rFonts w:ascii="Arial" w:eastAsia="Arial" w:hAnsi="Arial" w:cs="Arial"/>
            <w:color w:val="0562C1"/>
            <w:sz w:val="18"/>
            <w:u w:val="single" w:color="0562C1"/>
          </w:rPr>
          <w:t>21e</w:t>
        </w:r>
      </w:hyperlink>
      <w:hyperlink r:id="rId31">
        <w:r w:rsidRPr="00D46D71">
          <w:rPr>
            <w:rFonts w:ascii="Arial" w:eastAsia="Arial" w:hAnsi="Arial" w:cs="Arial"/>
            <w:color w:val="0562C1"/>
            <w:sz w:val="18"/>
            <w:u w:val="single" w:color="0562C1"/>
          </w:rPr>
          <w:t>-</w:t>
        </w:r>
      </w:hyperlink>
      <w:hyperlink r:id="rId32">
        <w:r w:rsidRPr="00D46D71">
          <w:rPr>
            <w:rFonts w:ascii="Arial" w:eastAsia="Arial" w:hAnsi="Arial" w:cs="Arial"/>
            <w:color w:val="0562C1"/>
            <w:sz w:val="18"/>
            <w:u w:val="single" w:color="0562C1"/>
          </w:rPr>
          <w:t>siecle.html</w:t>
        </w:r>
      </w:hyperlink>
      <w:hyperlink r:id="rId33">
        <w:r w:rsidRPr="00D46D71">
          <w:rPr>
            <w:rFonts w:ascii="Arial" w:eastAsia="Arial" w:hAnsi="Arial" w:cs="Arial"/>
            <w:sz w:val="18"/>
          </w:rPr>
          <w:t xml:space="preserve"> </w:t>
        </w:r>
      </w:hyperlink>
    </w:p>
    <w:p w14:paraId="61BCD184" w14:textId="4D1A09E3" w:rsidR="000254ED" w:rsidRPr="00463DE8" w:rsidRDefault="000254ED" w:rsidP="000254ED">
      <w:pPr>
        <w:tabs>
          <w:tab w:val="center" w:pos="14631"/>
        </w:tabs>
        <w:rPr>
          <w:color w:val="auto"/>
          <w:sz w:val="30"/>
        </w:rPr>
      </w:pPr>
      <w:r w:rsidRPr="00463DE8">
        <w:rPr>
          <w:color w:val="auto"/>
          <w:sz w:val="30"/>
        </w:rPr>
        <w:lastRenderedPageBreak/>
        <w:t>Les trois blocs de compétences professionnelles – CPE</w:t>
      </w:r>
    </w:p>
    <w:p w14:paraId="43AB5F37" w14:textId="4D970B40" w:rsidR="000254ED" w:rsidRPr="000254ED" w:rsidRDefault="00974C26" w:rsidP="00974C26">
      <w:pPr>
        <w:spacing w:before="291"/>
        <w:rPr>
          <w:color w:val="DF6F6F"/>
          <w:sz w:val="30"/>
        </w:rPr>
      </w:pPr>
      <w:r>
        <w:t xml:space="preserve">                                    </w:t>
      </w:r>
      <w:r w:rsidR="000254ED" w:rsidRPr="00D46D71">
        <w:t xml:space="preserve">BC1 </w:t>
      </w:r>
      <w:r w:rsidR="000254ED">
        <w:tab/>
      </w:r>
      <w:r w:rsidR="000254ED">
        <w:tab/>
      </w:r>
      <w:r w:rsidR="000254ED">
        <w:tab/>
      </w:r>
      <w:r w:rsidR="000254ED">
        <w:tab/>
      </w:r>
      <w:r w:rsidR="000254ED">
        <w:tab/>
      </w:r>
      <w:r w:rsidR="000254ED">
        <w:tab/>
      </w:r>
      <w:r w:rsidR="000254ED">
        <w:tab/>
      </w:r>
      <w:r w:rsidR="000254ED" w:rsidRPr="00D46D71">
        <w:t xml:space="preserve">BC2 </w:t>
      </w:r>
      <w:r w:rsidR="000254ED" w:rsidRPr="00D46D71">
        <w:tab/>
      </w:r>
      <w:r w:rsidR="000254ED">
        <w:tab/>
      </w:r>
      <w:r w:rsidR="000254ED">
        <w:tab/>
      </w:r>
      <w:r w:rsidR="000254ED">
        <w:tab/>
      </w:r>
      <w:r w:rsidR="000254ED">
        <w:tab/>
      </w:r>
      <w:r>
        <w:t xml:space="preserve">                              </w:t>
      </w:r>
      <w:r w:rsidR="000254ED">
        <w:tab/>
      </w:r>
      <w:r w:rsidR="000254ED" w:rsidRPr="00D46D71">
        <w:t xml:space="preserve">BC3 </w:t>
      </w:r>
    </w:p>
    <w:p w14:paraId="2070956D" w14:textId="1F070E69" w:rsidR="000254ED" w:rsidRPr="00D46D71" w:rsidRDefault="00974C26" w:rsidP="000254ED">
      <w:pPr>
        <w:tabs>
          <w:tab w:val="left" w:pos="284"/>
        </w:tabs>
        <w:spacing w:after="93" w:line="259" w:lineRule="auto"/>
        <w:ind w:left="-567" w:right="-845" w:hanging="142"/>
        <w:jc w:val="right"/>
      </w:pPr>
      <w:r>
        <w:rPr>
          <w:noProof/>
        </w:rPr>
        <mc:AlternateContent>
          <mc:Choice Requires="wps">
            <w:drawing>
              <wp:anchor distT="0" distB="0" distL="114300" distR="114300" simplePos="0" relativeHeight="251659264" behindDoc="0" locked="0" layoutInCell="1" allowOverlap="1" wp14:anchorId="77CCA984" wp14:editId="5F710876">
                <wp:simplePos x="0" y="0"/>
                <wp:positionH relativeFrom="column">
                  <wp:posOffset>-278130</wp:posOffset>
                </wp:positionH>
                <wp:positionV relativeFrom="paragraph">
                  <wp:posOffset>70485</wp:posOffset>
                </wp:positionV>
                <wp:extent cx="9989820" cy="3992880"/>
                <wp:effectExtent l="0" t="0" r="11430" b="26670"/>
                <wp:wrapNone/>
                <wp:docPr id="1" name="Rectangle 1"/>
                <wp:cNvGraphicFramePr/>
                <a:graphic xmlns:a="http://schemas.openxmlformats.org/drawingml/2006/main">
                  <a:graphicData uri="http://schemas.microsoft.com/office/word/2010/wordprocessingShape">
                    <wps:wsp>
                      <wps:cNvSpPr/>
                      <wps:spPr>
                        <a:xfrm>
                          <a:off x="0" y="0"/>
                          <a:ext cx="9989820" cy="39928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CE15E4" id="Rectangle 1" o:spid="_x0000_s1026" style="position:absolute;margin-left:-21.9pt;margin-top:5.55pt;width:786.6pt;height:31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" filled="f" strokecolor="black [3213]"/>
            </w:pict>
          </mc:Fallback>
        </mc:AlternateContent>
      </w:r>
      <w:r w:rsidR="000254ED">
        <w:rPr>
          <w:noProof/>
        </w:rPr>
        <w:drawing>
          <wp:inline distT="0" distB="0" distL="0" distR="0" wp14:anchorId="00909F94" wp14:editId="4746B03B">
            <wp:extent cx="9864725" cy="4099434"/>
            <wp:effectExtent l="0" t="0" r="0" b="0"/>
            <wp:docPr id="2164" name="Picture 2164"/>
            <wp:cNvGraphicFramePr/>
            <a:graphic xmlns:a="http://schemas.openxmlformats.org/drawingml/2006/main">
              <a:graphicData uri="http://schemas.openxmlformats.org/drawingml/2006/picture">
                <pic:pic xmlns:pic="http://schemas.openxmlformats.org/drawingml/2006/picture">
                  <pic:nvPicPr>
                    <pic:cNvPr id="2164" name="Picture 2164"/>
                    <pic:cNvPicPr/>
                  </pic:nvPicPr>
                  <pic:blipFill>
                    <a:blip r:embed="rId34"/>
                    <a:stretch>
                      <a:fillRect/>
                    </a:stretch>
                  </pic:blipFill>
                  <pic:spPr>
                    <a:xfrm>
                      <a:off x="0" y="0"/>
                      <a:ext cx="9864725" cy="4099434"/>
                    </a:xfrm>
                    <a:prstGeom prst="rect">
                      <a:avLst/>
                    </a:prstGeom>
                  </pic:spPr>
                </pic:pic>
              </a:graphicData>
            </a:graphic>
          </wp:inline>
        </w:drawing>
      </w:r>
      <w:r w:rsidR="000254ED" w:rsidRPr="00D46D71">
        <w:rPr>
          <w:rFonts w:ascii="Arial" w:eastAsia="Arial" w:hAnsi="Arial" w:cs="Arial"/>
          <w:sz w:val="20"/>
        </w:rPr>
        <w:t xml:space="preserve"> </w:t>
      </w:r>
    </w:p>
    <w:p w14:paraId="357EAFFE" w14:textId="1A214546" w:rsidR="000254ED" w:rsidRDefault="000254ED" w:rsidP="000254ED">
      <w:pPr>
        <w:spacing w:after="0" w:line="259" w:lineRule="auto"/>
        <w:ind w:left="0" w:right="0" w:firstLine="0"/>
        <w:jc w:val="left"/>
      </w:pPr>
      <w:r w:rsidRPr="00D46D71">
        <w:rPr>
          <w:rFonts w:ascii="Arial" w:eastAsia="Arial" w:hAnsi="Arial" w:cs="Arial"/>
          <w:sz w:val="18"/>
        </w:rPr>
        <w:t xml:space="preserve">Référentiel </w:t>
      </w:r>
      <w:r w:rsidRPr="00D46D71">
        <w:rPr>
          <w:rFonts w:ascii="Arial" w:eastAsia="Arial" w:hAnsi="Arial" w:cs="Arial"/>
          <w:i/>
          <w:sz w:val="18"/>
        </w:rPr>
        <w:t>Former aux métiers du professorat et de l’éducation au 21</w:t>
      </w:r>
      <w:r w:rsidRPr="00D46D71">
        <w:rPr>
          <w:rFonts w:ascii="Arial" w:eastAsia="Arial" w:hAnsi="Arial" w:cs="Arial"/>
          <w:i/>
          <w:sz w:val="18"/>
          <w:vertAlign w:val="superscript"/>
        </w:rPr>
        <w:t xml:space="preserve">e </w:t>
      </w:r>
      <w:r w:rsidRPr="00D46D71">
        <w:rPr>
          <w:rFonts w:ascii="Arial" w:eastAsia="Arial" w:hAnsi="Arial" w:cs="Arial"/>
          <w:i/>
          <w:sz w:val="18"/>
        </w:rPr>
        <w:t xml:space="preserve">siècle </w:t>
      </w:r>
      <w:r w:rsidRPr="00D46D71">
        <w:rPr>
          <w:rFonts w:ascii="Arial" w:eastAsia="Arial" w:hAnsi="Arial" w:cs="Arial"/>
          <w:color w:val="0562C1"/>
          <w:sz w:val="18"/>
          <w:u w:val="single" w:color="0562C1"/>
        </w:rPr>
        <w:t>https:</w:t>
      </w:r>
      <w:hyperlink r:id="rId35">
        <w:r w:rsidRPr="00D46D71">
          <w:rPr>
            <w:rFonts w:ascii="Arial" w:eastAsia="Arial" w:hAnsi="Arial" w:cs="Arial"/>
            <w:color w:val="0562C1"/>
            <w:sz w:val="18"/>
            <w:u w:val="single" w:color="0562C1"/>
          </w:rPr>
          <w:t>//www.devenirenseignant.gouv.fr/cid142150/former</w:t>
        </w:r>
      </w:hyperlink>
      <w:hyperlink r:id="rId36">
        <w:r w:rsidRPr="00D46D71">
          <w:rPr>
            <w:rFonts w:ascii="Arial" w:eastAsia="Arial" w:hAnsi="Arial" w:cs="Arial"/>
            <w:color w:val="0562C1"/>
            <w:sz w:val="18"/>
            <w:u w:val="single" w:color="0562C1"/>
          </w:rPr>
          <w:t>-</w:t>
        </w:r>
      </w:hyperlink>
      <w:hyperlink r:id="rId37">
        <w:r w:rsidRPr="00D46D71">
          <w:rPr>
            <w:rFonts w:ascii="Arial" w:eastAsia="Arial" w:hAnsi="Arial" w:cs="Arial"/>
            <w:color w:val="0562C1"/>
            <w:sz w:val="18"/>
            <w:u w:val="single" w:color="0562C1"/>
          </w:rPr>
          <w:t>aux</w:t>
        </w:r>
      </w:hyperlink>
      <w:hyperlink r:id="rId38">
        <w:r w:rsidRPr="00D46D71">
          <w:rPr>
            <w:rFonts w:ascii="Arial" w:eastAsia="Arial" w:hAnsi="Arial" w:cs="Arial"/>
            <w:color w:val="0562C1"/>
            <w:sz w:val="18"/>
            <w:u w:val="single" w:color="0562C1"/>
          </w:rPr>
          <w:t>-</w:t>
        </w:r>
      </w:hyperlink>
      <w:hyperlink r:id="rId39">
        <w:r w:rsidRPr="00D46D71">
          <w:rPr>
            <w:rFonts w:ascii="Arial" w:eastAsia="Arial" w:hAnsi="Arial" w:cs="Arial"/>
            <w:color w:val="0562C1"/>
            <w:sz w:val="18"/>
            <w:u w:val="single" w:color="0562C1"/>
          </w:rPr>
          <w:t>metiers</w:t>
        </w:r>
      </w:hyperlink>
      <w:hyperlink r:id="rId40">
        <w:r w:rsidRPr="00D46D71">
          <w:rPr>
            <w:rFonts w:ascii="Arial" w:eastAsia="Arial" w:hAnsi="Arial" w:cs="Arial"/>
            <w:color w:val="0562C1"/>
            <w:sz w:val="18"/>
            <w:u w:val="single" w:color="0562C1"/>
          </w:rPr>
          <w:t>-</w:t>
        </w:r>
      </w:hyperlink>
      <w:hyperlink r:id="rId41">
        <w:r w:rsidRPr="00D46D71">
          <w:rPr>
            <w:rFonts w:ascii="Arial" w:eastAsia="Arial" w:hAnsi="Arial" w:cs="Arial"/>
            <w:color w:val="0562C1"/>
            <w:sz w:val="18"/>
            <w:u w:val="single" w:color="0562C1"/>
          </w:rPr>
          <w:t>du</w:t>
        </w:r>
      </w:hyperlink>
      <w:hyperlink r:id="rId42">
        <w:r w:rsidRPr="00D46D71">
          <w:rPr>
            <w:rFonts w:ascii="Arial" w:eastAsia="Arial" w:hAnsi="Arial" w:cs="Arial"/>
            <w:color w:val="0562C1"/>
            <w:sz w:val="18"/>
            <w:u w:val="single" w:color="0562C1"/>
          </w:rPr>
          <w:t>-</w:t>
        </w:r>
      </w:hyperlink>
      <w:hyperlink r:id="rId43">
        <w:r w:rsidRPr="00D46D71">
          <w:rPr>
            <w:rFonts w:ascii="Arial" w:eastAsia="Arial" w:hAnsi="Arial" w:cs="Arial"/>
            <w:color w:val="0562C1"/>
            <w:sz w:val="18"/>
            <w:u w:val="single" w:color="0562C1"/>
          </w:rPr>
          <w:t>professorat</w:t>
        </w:r>
      </w:hyperlink>
      <w:hyperlink r:id="rId44">
        <w:r w:rsidRPr="00D46D71">
          <w:rPr>
            <w:rFonts w:ascii="Arial" w:eastAsia="Arial" w:hAnsi="Arial" w:cs="Arial"/>
            <w:color w:val="0562C1"/>
            <w:sz w:val="18"/>
            <w:u w:val="single" w:color="0562C1"/>
          </w:rPr>
          <w:t>-</w:t>
        </w:r>
      </w:hyperlink>
      <w:hyperlink r:id="rId45">
        <w:r w:rsidRPr="00D46D71">
          <w:rPr>
            <w:rFonts w:ascii="Arial" w:eastAsia="Arial" w:hAnsi="Arial" w:cs="Arial"/>
            <w:color w:val="0562C1"/>
            <w:sz w:val="18"/>
            <w:u w:val="single" w:color="0562C1"/>
          </w:rPr>
          <w:t>et</w:t>
        </w:r>
      </w:hyperlink>
      <w:hyperlink r:id="rId46">
        <w:r w:rsidRPr="00D46D71">
          <w:rPr>
            <w:rFonts w:ascii="Arial" w:eastAsia="Arial" w:hAnsi="Arial" w:cs="Arial"/>
            <w:color w:val="0562C1"/>
            <w:sz w:val="18"/>
            <w:u w:val="single" w:color="0562C1"/>
          </w:rPr>
          <w:t>-</w:t>
        </w:r>
      </w:hyperlink>
      <w:hyperlink r:id="rId47">
        <w:r w:rsidRPr="00D46D71">
          <w:rPr>
            <w:rFonts w:ascii="Arial" w:eastAsia="Arial" w:hAnsi="Arial" w:cs="Arial"/>
            <w:color w:val="0562C1"/>
            <w:sz w:val="18"/>
            <w:u w:val="single" w:color="0562C1"/>
          </w:rPr>
          <w:t>de</w:t>
        </w:r>
      </w:hyperlink>
      <w:hyperlink r:id="rId48">
        <w:r w:rsidRPr="00D46D71">
          <w:rPr>
            <w:rFonts w:ascii="Arial" w:eastAsia="Arial" w:hAnsi="Arial" w:cs="Arial"/>
            <w:color w:val="0562C1"/>
            <w:sz w:val="18"/>
            <w:u w:val="single" w:color="0562C1"/>
          </w:rPr>
          <w:t>-</w:t>
        </w:r>
      </w:hyperlink>
      <w:hyperlink r:id="rId49">
        <w:r w:rsidRPr="00D46D71">
          <w:rPr>
            <w:rFonts w:ascii="Arial" w:eastAsia="Arial" w:hAnsi="Arial" w:cs="Arial"/>
            <w:color w:val="0562C1"/>
            <w:sz w:val="18"/>
            <w:u w:val="single" w:color="0562C1"/>
          </w:rPr>
          <w:t>l</w:t>
        </w:r>
      </w:hyperlink>
      <w:hyperlink r:id="rId50">
        <w:r w:rsidRPr="00D46D71">
          <w:rPr>
            <w:rFonts w:ascii="Arial" w:eastAsia="Arial" w:hAnsi="Arial" w:cs="Arial"/>
            <w:color w:val="0562C1"/>
            <w:sz w:val="18"/>
            <w:u w:val="single" w:color="0562C1"/>
          </w:rPr>
          <w:t>-</w:t>
        </w:r>
      </w:hyperlink>
      <w:hyperlink r:id="rId51">
        <w:r w:rsidRPr="00D46D71">
          <w:rPr>
            <w:rFonts w:ascii="Arial" w:eastAsia="Arial" w:hAnsi="Arial" w:cs="Arial"/>
            <w:color w:val="0562C1"/>
            <w:sz w:val="18"/>
            <w:u w:val="single" w:color="0562C1"/>
          </w:rPr>
          <w:t>education</w:t>
        </w:r>
      </w:hyperlink>
      <w:hyperlink r:id="rId52">
        <w:r w:rsidRPr="00D46D71">
          <w:rPr>
            <w:rFonts w:ascii="Arial" w:eastAsia="Arial" w:hAnsi="Arial" w:cs="Arial"/>
            <w:color w:val="0562C1"/>
            <w:sz w:val="18"/>
            <w:u w:val="single" w:color="0562C1"/>
          </w:rPr>
          <w:t>-</w:t>
        </w:r>
      </w:hyperlink>
      <w:hyperlink r:id="rId53">
        <w:r w:rsidRPr="00D46D71">
          <w:rPr>
            <w:rFonts w:ascii="Arial" w:eastAsia="Arial" w:hAnsi="Arial" w:cs="Arial"/>
            <w:color w:val="0562C1"/>
            <w:sz w:val="18"/>
            <w:u w:val="single" w:color="0562C1"/>
          </w:rPr>
          <w:t>au</w:t>
        </w:r>
      </w:hyperlink>
      <w:hyperlink r:id="rId54">
        <w:r w:rsidRPr="00D46D71">
          <w:rPr>
            <w:rFonts w:ascii="Arial" w:eastAsia="Arial" w:hAnsi="Arial" w:cs="Arial"/>
            <w:color w:val="0562C1"/>
            <w:sz w:val="18"/>
            <w:u w:val="single" w:color="0562C1"/>
          </w:rPr>
          <w:t>-</w:t>
        </w:r>
      </w:hyperlink>
      <w:hyperlink r:id="rId55">
        <w:r>
          <w:rPr>
            <w:rFonts w:ascii="Arial" w:eastAsia="Arial" w:hAnsi="Arial" w:cs="Arial"/>
            <w:color w:val="0562C1"/>
            <w:sz w:val="18"/>
            <w:u w:val="single" w:color="0562C1"/>
          </w:rPr>
          <w:t>21e</w:t>
        </w:r>
      </w:hyperlink>
      <w:hyperlink r:id="rId56">
        <w:r>
          <w:rPr>
            <w:rFonts w:ascii="Arial" w:eastAsia="Arial" w:hAnsi="Arial" w:cs="Arial"/>
            <w:color w:val="0562C1"/>
            <w:sz w:val="18"/>
            <w:u w:val="single" w:color="0562C1"/>
          </w:rPr>
          <w:t>-</w:t>
        </w:r>
      </w:hyperlink>
      <w:hyperlink r:id="rId57">
        <w:r>
          <w:rPr>
            <w:rFonts w:ascii="Arial" w:eastAsia="Arial" w:hAnsi="Arial" w:cs="Arial"/>
            <w:color w:val="0562C1"/>
            <w:sz w:val="18"/>
            <w:u w:val="single" w:color="0562C1"/>
          </w:rPr>
          <w:t>siecle.html</w:t>
        </w:r>
      </w:hyperlink>
    </w:p>
    <w:sectPr w:rsidR="000254ED" w:rsidSect="00F73DF7">
      <w:pgSz w:w="16838" w:h="11906" w:orient="landscape"/>
      <w:pgMar w:top="1418" w:right="1956" w:bottom="1412" w:left="71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BA6C3" w14:textId="77777777" w:rsidR="004318E6" w:rsidRDefault="004318E6" w:rsidP="000254ED">
      <w:pPr>
        <w:spacing w:after="0" w:line="240" w:lineRule="auto"/>
      </w:pPr>
      <w:r>
        <w:separator/>
      </w:r>
    </w:p>
  </w:endnote>
  <w:endnote w:type="continuationSeparator" w:id="0">
    <w:p w14:paraId="3ABDF7A3" w14:textId="77777777" w:rsidR="004318E6" w:rsidRDefault="004318E6" w:rsidP="00025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430688"/>
      <w:docPartObj>
        <w:docPartGallery w:val="Page Numbers (Bottom of Page)"/>
        <w:docPartUnique/>
      </w:docPartObj>
    </w:sdtPr>
    <w:sdtContent>
      <w:p w14:paraId="0AA85BA3" w14:textId="07FEF3C5" w:rsidR="00F73DF7" w:rsidRDefault="00F73DF7">
        <w:pPr>
          <w:pStyle w:val="Pieddepage"/>
          <w:jc w:val="right"/>
        </w:pPr>
        <w:r>
          <w:fldChar w:fldCharType="begin"/>
        </w:r>
        <w:r>
          <w:instrText>PAGE   \* MERGEFORMAT</w:instrText>
        </w:r>
        <w:r>
          <w:fldChar w:fldCharType="separate"/>
        </w:r>
        <w:r>
          <w:t>2</w:t>
        </w:r>
        <w:r>
          <w:fldChar w:fldCharType="end"/>
        </w:r>
      </w:p>
    </w:sdtContent>
  </w:sdt>
  <w:p w14:paraId="38B66B63" w14:textId="77777777" w:rsidR="00F73DF7" w:rsidRDefault="00F73D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2D67" w14:textId="77777777" w:rsidR="004318E6" w:rsidRDefault="004318E6" w:rsidP="000254ED">
      <w:pPr>
        <w:spacing w:after="0" w:line="240" w:lineRule="auto"/>
      </w:pPr>
      <w:r>
        <w:separator/>
      </w:r>
    </w:p>
  </w:footnote>
  <w:footnote w:type="continuationSeparator" w:id="0">
    <w:p w14:paraId="4C6A06E9" w14:textId="77777777" w:rsidR="004318E6" w:rsidRDefault="004318E6" w:rsidP="000254ED">
      <w:pPr>
        <w:spacing w:after="0" w:line="240" w:lineRule="auto"/>
      </w:pPr>
      <w:r>
        <w:continuationSeparator/>
      </w:r>
    </w:p>
  </w:footnote>
  <w:footnote w:id="1">
    <w:p w14:paraId="0EAA7324" w14:textId="183A64F4" w:rsidR="000254ED" w:rsidRDefault="000254ED">
      <w:pPr>
        <w:pStyle w:val="Notedebasdepage"/>
      </w:pPr>
      <w:r>
        <w:rPr>
          <w:rStyle w:val="Appelnotedebasdep"/>
        </w:rPr>
        <w:footnoteRef/>
      </w:r>
      <w:r>
        <w:t xml:space="preserve"> </w:t>
      </w:r>
      <w:proofErr w:type="gramStart"/>
      <w:r>
        <w:t>https</w:t>
      </w:r>
      <w:proofErr w:type="gramEnd"/>
      <w:r>
        <w:t>://</w:t>
      </w:r>
      <w:hyperlink r:id="rId1">
        <w:r>
          <w:t>www.education.gouv.fr/bo/13/Hebdo30/MENE1315928A.htm</w:t>
        </w:r>
      </w:hyperlink>
    </w:p>
  </w:footnote>
  <w:footnote w:id="2">
    <w:p w14:paraId="68639E99" w14:textId="4F7D2D97" w:rsidR="000254ED" w:rsidRDefault="000254ED">
      <w:pPr>
        <w:pStyle w:val="Notedebasdepage"/>
      </w:pPr>
      <w:r>
        <w:rPr>
          <w:rStyle w:val="Appelnotedebasdep"/>
        </w:rPr>
        <w:footnoteRef/>
      </w:r>
      <w:r>
        <w:t xml:space="preserve"> Annexe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3BF"/>
    <w:rsid w:val="000254ED"/>
    <w:rsid w:val="00043F53"/>
    <w:rsid w:val="00053ADD"/>
    <w:rsid w:val="00067BAC"/>
    <w:rsid w:val="000B23BF"/>
    <w:rsid w:val="000C7523"/>
    <w:rsid w:val="000D3551"/>
    <w:rsid w:val="000F5DED"/>
    <w:rsid w:val="001160DA"/>
    <w:rsid w:val="00135076"/>
    <w:rsid w:val="001838AC"/>
    <w:rsid w:val="001C60CE"/>
    <w:rsid w:val="00255EB0"/>
    <w:rsid w:val="00390D6B"/>
    <w:rsid w:val="003C648C"/>
    <w:rsid w:val="003E1B8B"/>
    <w:rsid w:val="003F2D1B"/>
    <w:rsid w:val="0041544E"/>
    <w:rsid w:val="004318E6"/>
    <w:rsid w:val="00463DE8"/>
    <w:rsid w:val="004B16BF"/>
    <w:rsid w:val="004E41D1"/>
    <w:rsid w:val="00502437"/>
    <w:rsid w:val="005432A9"/>
    <w:rsid w:val="00572516"/>
    <w:rsid w:val="005A4520"/>
    <w:rsid w:val="005B62F6"/>
    <w:rsid w:val="005D1AE6"/>
    <w:rsid w:val="005E7FCB"/>
    <w:rsid w:val="0062038A"/>
    <w:rsid w:val="006312DC"/>
    <w:rsid w:val="00635719"/>
    <w:rsid w:val="006D1D4F"/>
    <w:rsid w:val="006E523B"/>
    <w:rsid w:val="006F66A9"/>
    <w:rsid w:val="00726DA0"/>
    <w:rsid w:val="007473F5"/>
    <w:rsid w:val="0078512D"/>
    <w:rsid w:val="007D1C64"/>
    <w:rsid w:val="00804FE7"/>
    <w:rsid w:val="008059AE"/>
    <w:rsid w:val="00905B73"/>
    <w:rsid w:val="0092476E"/>
    <w:rsid w:val="009476BA"/>
    <w:rsid w:val="009501C0"/>
    <w:rsid w:val="00974C26"/>
    <w:rsid w:val="009A2F26"/>
    <w:rsid w:val="009D44AF"/>
    <w:rsid w:val="00A041AE"/>
    <w:rsid w:val="00A0631F"/>
    <w:rsid w:val="00A15DCC"/>
    <w:rsid w:val="00A30FAB"/>
    <w:rsid w:val="00A64D9E"/>
    <w:rsid w:val="00A97B08"/>
    <w:rsid w:val="00AC3FD0"/>
    <w:rsid w:val="00B27DDB"/>
    <w:rsid w:val="00B565FF"/>
    <w:rsid w:val="00B7407D"/>
    <w:rsid w:val="00B75692"/>
    <w:rsid w:val="00BA2A9D"/>
    <w:rsid w:val="00C53EE5"/>
    <w:rsid w:val="00C75828"/>
    <w:rsid w:val="00C77E35"/>
    <w:rsid w:val="00D44239"/>
    <w:rsid w:val="00D70126"/>
    <w:rsid w:val="00DA5CB8"/>
    <w:rsid w:val="00DB10AD"/>
    <w:rsid w:val="00E80D5D"/>
    <w:rsid w:val="00E936E9"/>
    <w:rsid w:val="00EC192F"/>
    <w:rsid w:val="00F078C6"/>
    <w:rsid w:val="00F73DF7"/>
    <w:rsid w:val="00F82CE5"/>
    <w:rsid w:val="00FD0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0A24"/>
  <w15:docId w15:val="{B906DF15-A0FF-4950-AE4F-8EFFB28F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 w:hanging="10"/>
      <w:jc w:val="both"/>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10" w:hanging="10"/>
      <w:outlineLvl w:val="0"/>
    </w:pPr>
    <w:rPr>
      <w:rFonts w:ascii="Calibri" w:eastAsia="Calibri" w:hAnsi="Calibri" w:cs="Calibri"/>
      <w:b/>
      <w:color w:val="000000"/>
    </w:rPr>
  </w:style>
  <w:style w:type="paragraph" w:styleId="Titre2">
    <w:name w:val="heading 2"/>
    <w:basedOn w:val="Normal"/>
    <w:next w:val="Normal"/>
    <w:link w:val="Titre2Car"/>
    <w:uiPriority w:val="9"/>
    <w:semiHidden/>
    <w:unhideWhenUsed/>
    <w:qFormat/>
    <w:rsid w:val="000254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7D1C64"/>
    <w:rPr>
      <w:sz w:val="16"/>
      <w:szCs w:val="16"/>
    </w:rPr>
  </w:style>
  <w:style w:type="paragraph" w:styleId="Commentaire">
    <w:name w:val="annotation text"/>
    <w:basedOn w:val="Normal"/>
    <w:link w:val="CommentaireCar"/>
    <w:uiPriority w:val="99"/>
    <w:semiHidden/>
    <w:unhideWhenUsed/>
    <w:rsid w:val="007D1C64"/>
    <w:pPr>
      <w:spacing w:line="240" w:lineRule="auto"/>
    </w:pPr>
    <w:rPr>
      <w:sz w:val="20"/>
      <w:szCs w:val="20"/>
    </w:rPr>
  </w:style>
  <w:style w:type="character" w:customStyle="1" w:styleId="CommentaireCar">
    <w:name w:val="Commentaire Car"/>
    <w:basedOn w:val="Policepardfaut"/>
    <w:link w:val="Commentaire"/>
    <w:uiPriority w:val="99"/>
    <w:semiHidden/>
    <w:rsid w:val="007D1C64"/>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7D1C64"/>
    <w:rPr>
      <w:b/>
      <w:bCs/>
    </w:rPr>
  </w:style>
  <w:style w:type="character" w:customStyle="1" w:styleId="ObjetducommentaireCar">
    <w:name w:val="Objet du commentaire Car"/>
    <w:basedOn w:val="CommentaireCar"/>
    <w:link w:val="Objetducommentaire"/>
    <w:uiPriority w:val="99"/>
    <w:semiHidden/>
    <w:rsid w:val="007D1C64"/>
    <w:rPr>
      <w:rFonts w:ascii="Calibri" w:eastAsia="Calibri" w:hAnsi="Calibri" w:cs="Calibri"/>
      <w:b/>
      <w:bCs/>
      <w:color w:val="000000"/>
      <w:sz w:val="20"/>
      <w:szCs w:val="20"/>
    </w:rPr>
  </w:style>
  <w:style w:type="paragraph" w:styleId="Notedebasdepage">
    <w:name w:val="footnote text"/>
    <w:basedOn w:val="Normal"/>
    <w:link w:val="NotedebasdepageCar"/>
    <w:uiPriority w:val="99"/>
    <w:semiHidden/>
    <w:unhideWhenUsed/>
    <w:rsid w:val="000254E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254ED"/>
    <w:rPr>
      <w:rFonts w:ascii="Calibri" w:eastAsia="Calibri" w:hAnsi="Calibri" w:cs="Calibri"/>
      <w:color w:val="000000"/>
      <w:sz w:val="20"/>
      <w:szCs w:val="20"/>
    </w:rPr>
  </w:style>
  <w:style w:type="character" w:styleId="Appelnotedebasdep">
    <w:name w:val="footnote reference"/>
    <w:basedOn w:val="Policepardfaut"/>
    <w:uiPriority w:val="99"/>
    <w:semiHidden/>
    <w:unhideWhenUsed/>
    <w:rsid w:val="000254ED"/>
    <w:rPr>
      <w:vertAlign w:val="superscript"/>
    </w:rPr>
  </w:style>
  <w:style w:type="character" w:customStyle="1" w:styleId="footnotemark">
    <w:name w:val="footnote mark"/>
    <w:hidden/>
    <w:rsid w:val="000254ED"/>
    <w:rPr>
      <w:rFonts w:ascii="Calibri" w:eastAsia="Calibri" w:hAnsi="Calibri" w:cs="Calibri"/>
      <w:color w:val="000000"/>
      <w:sz w:val="20"/>
      <w:vertAlign w:val="superscript"/>
    </w:rPr>
  </w:style>
  <w:style w:type="character" w:customStyle="1" w:styleId="Titre2Car">
    <w:name w:val="Titre 2 Car"/>
    <w:basedOn w:val="Policepardfaut"/>
    <w:link w:val="Titre2"/>
    <w:uiPriority w:val="9"/>
    <w:semiHidden/>
    <w:rsid w:val="000254ED"/>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F73DF7"/>
    <w:pPr>
      <w:tabs>
        <w:tab w:val="center" w:pos="4536"/>
        <w:tab w:val="right" w:pos="9072"/>
      </w:tabs>
      <w:spacing w:after="0" w:line="240" w:lineRule="auto"/>
    </w:pPr>
  </w:style>
  <w:style w:type="character" w:customStyle="1" w:styleId="En-tteCar">
    <w:name w:val="En-tête Car"/>
    <w:basedOn w:val="Policepardfaut"/>
    <w:link w:val="En-tte"/>
    <w:uiPriority w:val="99"/>
    <w:rsid w:val="00F73DF7"/>
    <w:rPr>
      <w:rFonts w:ascii="Calibri" w:eastAsia="Calibri" w:hAnsi="Calibri" w:cs="Calibri"/>
      <w:color w:val="000000"/>
    </w:rPr>
  </w:style>
  <w:style w:type="paragraph" w:styleId="Pieddepage">
    <w:name w:val="footer"/>
    <w:basedOn w:val="Normal"/>
    <w:link w:val="PieddepageCar"/>
    <w:uiPriority w:val="99"/>
    <w:unhideWhenUsed/>
    <w:rsid w:val="00F73D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3DF7"/>
    <w:rPr>
      <w:rFonts w:ascii="Calibri" w:eastAsia="Calibri" w:hAnsi="Calibri" w:cs="Calibri"/>
      <w:color w:val="000000"/>
    </w:rPr>
  </w:style>
  <w:style w:type="paragraph" w:styleId="Corpsdetexte">
    <w:name w:val="Body Text"/>
    <w:basedOn w:val="Normal"/>
    <w:link w:val="CorpsdetexteCar"/>
    <w:uiPriority w:val="1"/>
    <w:qFormat/>
    <w:rsid w:val="00804FE7"/>
    <w:pPr>
      <w:widowControl w:val="0"/>
      <w:autoSpaceDE w:val="0"/>
      <w:autoSpaceDN w:val="0"/>
      <w:spacing w:after="0" w:line="240" w:lineRule="auto"/>
      <w:ind w:left="0" w:right="0" w:firstLine="0"/>
      <w:jc w:val="left"/>
    </w:pPr>
    <w:rPr>
      <w:color w:val="auto"/>
      <w:lang w:eastAsia="en-US"/>
    </w:rPr>
  </w:style>
  <w:style w:type="character" w:customStyle="1" w:styleId="CorpsdetexteCar">
    <w:name w:val="Corps de texte Car"/>
    <w:basedOn w:val="Policepardfaut"/>
    <w:link w:val="Corpsdetexte"/>
    <w:uiPriority w:val="1"/>
    <w:rsid w:val="00804FE7"/>
    <w:rPr>
      <w:rFonts w:ascii="Calibri" w:eastAsia="Calibri" w:hAnsi="Calibri" w:cs="Calibri"/>
      <w:lang w:eastAsia="en-US"/>
    </w:rPr>
  </w:style>
  <w:style w:type="character" w:customStyle="1" w:styleId="object">
    <w:name w:val="object"/>
    <w:basedOn w:val="Policepardfaut"/>
    <w:rsid w:val="00C77E35"/>
  </w:style>
  <w:style w:type="character" w:customStyle="1" w:styleId="object-active">
    <w:name w:val="object-active"/>
    <w:basedOn w:val="Policepardfaut"/>
    <w:rsid w:val="00C77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16956">
      <w:bodyDiv w:val="1"/>
      <w:marLeft w:val="0"/>
      <w:marRight w:val="0"/>
      <w:marTop w:val="0"/>
      <w:marBottom w:val="0"/>
      <w:divBdr>
        <w:top w:val="none" w:sz="0" w:space="0" w:color="auto"/>
        <w:left w:val="none" w:sz="0" w:space="0" w:color="auto"/>
        <w:bottom w:val="none" w:sz="0" w:space="0" w:color="auto"/>
        <w:right w:val="none" w:sz="0" w:space="0" w:color="auto"/>
      </w:divBdr>
      <w:divsChild>
        <w:div w:id="79985811">
          <w:marLeft w:val="0"/>
          <w:marRight w:val="0"/>
          <w:marTop w:val="0"/>
          <w:marBottom w:val="0"/>
          <w:divBdr>
            <w:top w:val="none" w:sz="0" w:space="0" w:color="auto"/>
            <w:left w:val="none" w:sz="0" w:space="0" w:color="auto"/>
            <w:bottom w:val="none" w:sz="0" w:space="0" w:color="auto"/>
            <w:right w:val="none" w:sz="0" w:space="0" w:color="auto"/>
          </w:divBdr>
        </w:div>
        <w:div w:id="1202746654">
          <w:marLeft w:val="0"/>
          <w:marRight w:val="0"/>
          <w:marTop w:val="0"/>
          <w:marBottom w:val="0"/>
          <w:divBdr>
            <w:top w:val="none" w:sz="0" w:space="0" w:color="auto"/>
            <w:left w:val="none" w:sz="0" w:space="0" w:color="auto"/>
            <w:bottom w:val="none" w:sz="0" w:space="0" w:color="auto"/>
            <w:right w:val="none" w:sz="0" w:space="0" w:color="auto"/>
          </w:divBdr>
        </w:div>
      </w:divsChild>
    </w:div>
    <w:div w:id="1392801785">
      <w:bodyDiv w:val="1"/>
      <w:marLeft w:val="0"/>
      <w:marRight w:val="0"/>
      <w:marTop w:val="0"/>
      <w:marBottom w:val="0"/>
      <w:divBdr>
        <w:top w:val="none" w:sz="0" w:space="0" w:color="auto"/>
        <w:left w:val="none" w:sz="0" w:space="0" w:color="auto"/>
        <w:bottom w:val="none" w:sz="0" w:space="0" w:color="auto"/>
        <w:right w:val="none" w:sz="0" w:space="0" w:color="auto"/>
      </w:divBdr>
      <w:divsChild>
        <w:div w:id="364405470">
          <w:marLeft w:val="0"/>
          <w:marRight w:val="0"/>
          <w:marTop w:val="0"/>
          <w:marBottom w:val="0"/>
          <w:divBdr>
            <w:top w:val="none" w:sz="0" w:space="0" w:color="auto"/>
            <w:left w:val="none" w:sz="0" w:space="0" w:color="auto"/>
            <w:bottom w:val="none" w:sz="0" w:space="0" w:color="auto"/>
            <w:right w:val="none" w:sz="0" w:space="0" w:color="auto"/>
          </w:divBdr>
        </w:div>
        <w:div w:id="2039623332">
          <w:marLeft w:val="0"/>
          <w:marRight w:val="0"/>
          <w:marTop w:val="0"/>
          <w:marBottom w:val="0"/>
          <w:divBdr>
            <w:top w:val="none" w:sz="0" w:space="0" w:color="auto"/>
            <w:left w:val="none" w:sz="0" w:space="0" w:color="auto"/>
            <w:bottom w:val="none" w:sz="0" w:space="0" w:color="auto"/>
            <w:right w:val="none" w:sz="0" w:space="0" w:color="auto"/>
          </w:divBdr>
        </w:div>
        <w:div w:id="1319186929">
          <w:marLeft w:val="0"/>
          <w:marRight w:val="0"/>
          <w:marTop w:val="0"/>
          <w:marBottom w:val="0"/>
          <w:divBdr>
            <w:top w:val="none" w:sz="0" w:space="0" w:color="auto"/>
            <w:left w:val="none" w:sz="0" w:space="0" w:color="auto"/>
            <w:bottom w:val="none" w:sz="0" w:space="0" w:color="auto"/>
            <w:right w:val="none" w:sz="0" w:space="0" w:color="auto"/>
          </w:divBdr>
        </w:div>
        <w:div w:id="229510493">
          <w:marLeft w:val="0"/>
          <w:marRight w:val="0"/>
          <w:marTop w:val="0"/>
          <w:marBottom w:val="0"/>
          <w:divBdr>
            <w:top w:val="none" w:sz="0" w:space="0" w:color="auto"/>
            <w:left w:val="none" w:sz="0" w:space="0" w:color="auto"/>
            <w:bottom w:val="none" w:sz="0" w:space="0" w:color="auto"/>
            <w:right w:val="none" w:sz="0" w:space="0" w:color="auto"/>
          </w:divBdr>
        </w:div>
        <w:div w:id="8422793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evenirenseignant.gouv.fr/cid142150/former-aux-metiers-du-professorat-et-de-l-education-au-21e-siecle.html" TargetMode="External"/><Relationship Id="rId18" Type="http://schemas.openxmlformats.org/officeDocument/2006/relationships/hyperlink" Target="http://www.devenirenseignant.gouv.fr/cid142150/former-aux-metiers-du-professorat-et-de-l-education-au-21e-siecle.html" TargetMode="External"/><Relationship Id="rId26" Type="http://schemas.openxmlformats.org/officeDocument/2006/relationships/hyperlink" Target="http://www.devenirenseignant.gouv.fr/cid142150/former-aux-metiers-du-professorat-et-de-l-education-au-21e-siecle.html" TargetMode="External"/><Relationship Id="rId39" Type="http://schemas.openxmlformats.org/officeDocument/2006/relationships/hyperlink" Target="http://www.devenirenseignant.gouv.fr/cid142150/former-aux-metiers-du-professorat-et-de-l-education-au-21e-siecle.html" TargetMode="External"/><Relationship Id="rId21" Type="http://schemas.openxmlformats.org/officeDocument/2006/relationships/hyperlink" Target="http://www.devenirenseignant.gouv.fr/cid142150/former-aux-metiers-du-professorat-et-de-l-education-au-21e-siecle.html" TargetMode="External"/><Relationship Id="rId34" Type="http://schemas.openxmlformats.org/officeDocument/2006/relationships/image" Target="media/image3.jpg"/><Relationship Id="rId42" Type="http://schemas.openxmlformats.org/officeDocument/2006/relationships/hyperlink" Target="http://www.devenirenseignant.gouv.fr/cid142150/former-aux-metiers-du-professorat-et-de-l-education-au-21e-siecle.html" TargetMode="External"/><Relationship Id="rId47" Type="http://schemas.openxmlformats.org/officeDocument/2006/relationships/hyperlink" Target="http://www.devenirenseignant.gouv.fr/cid142150/former-aux-metiers-du-professorat-et-de-l-education-au-21e-siecle.html" TargetMode="External"/><Relationship Id="rId50" Type="http://schemas.openxmlformats.org/officeDocument/2006/relationships/hyperlink" Target="http://www.devenirenseignant.gouv.fr/cid142150/former-aux-metiers-du-professorat-et-de-l-education-au-21e-siecle.html" TargetMode="External"/><Relationship Id="rId55" Type="http://schemas.openxmlformats.org/officeDocument/2006/relationships/hyperlink" Target="http://www.devenirenseignant.gouv.fr/cid142150/former-aux-metiers-du-professorat-et-de-l-education-au-21e-siecle.html"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devenirenseignant.gouv.fr/cid142150/former-aux-metiers-du-professorat-et-de-l-education-au-21e-siecle.html" TargetMode="External"/><Relationship Id="rId29" Type="http://schemas.openxmlformats.org/officeDocument/2006/relationships/hyperlink" Target="http://www.devenirenseignant.gouv.fr/cid142150/former-aux-metiers-du-professorat-et-de-l-education-au-21e-siecle.html" TargetMode="External"/><Relationship Id="rId11" Type="http://schemas.openxmlformats.org/officeDocument/2006/relationships/hyperlink" Target="http://www.devenirenseignant.gouv.fr/cid142150/former-aux-metiers-du-professorat-et-de-l-education-au-21e-siecle.html" TargetMode="External"/><Relationship Id="rId24" Type="http://schemas.openxmlformats.org/officeDocument/2006/relationships/hyperlink" Target="http://www.devenirenseignant.gouv.fr/cid142150/former-aux-metiers-du-professorat-et-de-l-education-au-21e-siecle.html" TargetMode="External"/><Relationship Id="rId32" Type="http://schemas.openxmlformats.org/officeDocument/2006/relationships/hyperlink" Target="http://www.devenirenseignant.gouv.fr/cid142150/former-aux-metiers-du-professorat-et-de-l-education-au-21e-siecle.html" TargetMode="External"/><Relationship Id="rId37" Type="http://schemas.openxmlformats.org/officeDocument/2006/relationships/hyperlink" Target="http://www.devenirenseignant.gouv.fr/cid142150/former-aux-metiers-du-professorat-et-de-l-education-au-21e-siecle.html" TargetMode="External"/><Relationship Id="rId40" Type="http://schemas.openxmlformats.org/officeDocument/2006/relationships/hyperlink" Target="http://www.devenirenseignant.gouv.fr/cid142150/former-aux-metiers-du-professorat-et-de-l-education-au-21e-siecle.html" TargetMode="External"/><Relationship Id="rId45" Type="http://schemas.openxmlformats.org/officeDocument/2006/relationships/hyperlink" Target="http://www.devenirenseignant.gouv.fr/cid142150/former-aux-metiers-du-professorat-et-de-l-education-au-21e-siecle.html" TargetMode="External"/><Relationship Id="rId53" Type="http://schemas.openxmlformats.org/officeDocument/2006/relationships/hyperlink" Target="http://www.devenirenseignant.gouv.fr/cid142150/former-aux-metiers-du-professorat-et-de-l-education-au-21e-siecle.html"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www.devenirenseignant.gouv.fr/cid142150/former-aux-metiers-du-professorat-et-de-l-education-au-21e-siecle.html"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devenirenseignant.gouv.fr/cid142150/former-aux-metiers-du-professorat-et-de-l-education-au-21e-siecle.html" TargetMode="External"/><Relationship Id="rId22" Type="http://schemas.openxmlformats.org/officeDocument/2006/relationships/hyperlink" Target="http://www.devenirenseignant.gouv.fr/cid142150/former-aux-metiers-du-professorat-et-de-l-education-au-21e-siecle.html" TargetMode="External"/><Relationship Id="rId27" Type="http://schemas.openxmlformats.org/officeDocument/2006/relationships/hyperlink" Target="http://www.devenirenseignant.gouv.fr/cid142150/former-aux-metiers-du-professorat-et-de-l-education-au-21e-siecle.html" TargetMode="External"/><Relationship Id="rId30" Type="http://schemas.openxmlformats.org/officeDocument/2006/relationships/hyperlink" Target="http://www.devenirenseignant.gouv.fr/cid142150/former-aux-metiers-du-professorat-et-de-l-education-au-21e-siecle.html" TargetMode="External"/><Relationship Id="rId35" Type="http://schemas.openxmlformats.org/officeDocument/2006/relationships/hyperlink" Target="http://www.devenirenseignant.gouv.fr/cid142150/former-aux-metiers-du-professorat-et-de-l-education-au-21e-siecle.html" TargetMode="External"/><Relationship Id="rId43" Type="http://schemas.openxmlformats.org/officeDocument/2006/relationships/hyperlink" Target="http://www.devenirenseignant.gouv.fr/cid142150/former-aux-metiers-du-professorat-et-de-l-education-au-21e-siecle.html" TargetMode="External"/><Relationship Id="rId48" Type="http://schemas.openxmlformats.org/officeDocument/2006/relationships/hyperlink" Target="http://www.devenirenseignant.gouv.fr/cid142150/former-aux-metiers-du-professorat-et-de-l-education-au-21e-siecle.html" TargetMode="External"/><Relationship Id="rId56" Type="http://schemas.openxmlformats.org/officeDocument/2006/relationships/hyperlink" Target="http://www.devenirenseignant.gouv.fr/cid142150/former-aux-metiers-du-professorat-et-de-l-education-au-21e-siecle.html" TargetMode="External"/><Relationship Id="rId8" Type="http://schemas.openxmlformats.org/officeDocument/2006/relationships/footer" Target="footer1.xml"/><Relationship Id="rId51" Type="http://schemas.openxmlformats.org/officeDocument/2006/relationships/hyperlink" Target="http://www.devenirenseignant.gouv.fr/cid142150/former-aux-metiers-du-professorat-et-de-l-education-au-21e-siecle.html" TargetMode="External"/><Relationship Id="rId3" Type="http://schemas.openxmlformats.org/officeDocument/2006/relationships/settings" Target="settings.xml"/><Relationship Id="rId12" Type="http://schemas.openxmlformats.org/officeDocument/2006/relationships/hyperlink" Target="http://www.devenirenseignant.gouv.fr/cid142150/former-aux-metiers-du-professorat-et-de-l-education-au-21e-siecle.html" TargetMode="External"/><Relationship Id="rId17" Type="http://schemas.openxmlformats.org/officeDocument/2006/relationships/hyperlink" Target="http://www.devenirenseignant.gouv.fr/cid142150/former-aux-metiers-du-professorat-et-de-l-education-au-21e-siecle.html" TargetMode="External"/><Relationship Id="rId25" Type="http://schemas.openxmlformats.org/officeDocument/2006/relationships/hyperlink" Target="http://www.devenirenseignant.gouv.fr/cid142150/former-aux-metiers-du-professorat-et-de-l-education-au-21e-siecle.html" TargetMode="External"/><Relationship Id="rId33" Type="http://schemas.openxmlformats.org/officeDocument/2006/relationships/hyperlink" Target="http://www.devenirenseignant.gouv.fr/cid142150/former-aux-metiers-du-professorat-et-de-l-education-au-21e-siecle.html" TargetMode="External"/><Relationship Id="rId38" Type="http://schemas.openxmlformats.org/officeDocument/2006/relationships/hyperlink" Target="http://www.devenirenseignant.gouv.fr/cid142150/former-aux-metiers-du-professorat-et-de-l-education-au-21e-siecle.html" TargetMode="External"/><Relationship Id="rId46" Type="http://schemas.openxmlformats.org/officeDocument/2006/relationships/hyperlink" Target="http://www.devenirenseignant.gouv.fr/cid142150/former-aux-metiers-du-professorat-et-de-l-education-au-21e-siecle.html" TargetMode="External"/><Relationship Id="rId59" Type="http://schemas.openxmlformats.org/officeDocument/2006/relationships/theme" Target="theme/theme1.xml"/><Relationship Id="rId20" Type="http://schemas.openxmlformats.org/officeDocument/2006/relationships/hyperlink" Target="http://www.devenirenseignant.gouv.fr/cid142150/former-aux-metiers-du-professorat-et-de-l-education-au-21e-siecle.html" TargetMode="External"/><Relationship Id="rId41" Type="http://schemas.openxmlformats.org/officeDocument/2006/relationships/hyperlink" Target="http://www.devenirenseignant.gouv.fr/cid142150/former-aux-metiers-du-professorat-et-de-l-education-au-21e-siecle.html" TargetMode="External"/><Relationship Id="rId54" Type="http://schemas.openxmlformats.org/officeDocument/2006/relationships/hyperlink" Target="http://www.devenirenseignant.gouv.fr/cid142150/former-aux-metiers-du-professorat-et-de-l-education-au-21e-siecle.html"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devenirenseignant.gouv.fr/cid142150/former-aux-metiers-du-professorat-et-de-l-education-au-21e-siecle.html" TargetMode="External"/><Relationship Id="rId23" Type="http://schemas.openxmlformats.org/officeDocument/2006/relationships/hyperlink" Target="http://www.devenirenseignant.gouv.fr/cid142150/former-aux-metiers-du-professorat-et-de-l-education-au-21e-siecle.html" TargetMode="External"/><Relationship Id="rId28" Type="http://schemas.openxmlformats.org/officeDocument/2006/relationships/hyperlink" Target="http://www.devenirenseignant.gouv.fr/cid142150/former-aux-metiers-du-professorat-et-de-l-education-au-21e-siecle.html" TargetMode="External"/><Relationship Id="rId36" Type="http://schemas.openxmlformats.org/officeDocument/2006/relationships/hyperlink" Target="http://www.devenirenseignant.gouv.fr/cid142150/former-aux-metiers-du-professorat-et-de-l-education-au-21e-siecle.html" TargetMode="External"/><Relationship Id="rId49" Type="http://schemas.openxmlformats.org/officeDocument/2006/relationships/hyperlink" Target="http://www.devenirenseignant.gouv.fr/cid142150/former-aux-metiers-du-professorat-et-de-l-education-au-21e-siecle.html" TargetMode="External"/><Relationship Id="rId57" Type="http://schemas.openxmlformats.org/officeDocument/2006/relationships/hyperlink" Target="http://www.devenirenseignant.gouv.fr/cid142150/former-aux-metiers-du-professorat-et-de-l-education-au-21e-siecle.html" TargetMode="External"/><Relationship Id="rId10" Type="http://schemas.openxmlformats.org/officeDocument/2006/relationships/hyperlink" Target="http://www.devenirenseignant.gouv.fr/cid142150/former-aux-metiers-du-professorat-et-de-l-education-au-21e-siecle.html" TargetMode="External"/><Relationship Id="rId31" Type="http://schemas.openxmlformats.org/officeDocument/2006/relationships/hyperlink" Target="http://www.devenirenseignant.gouv.fr/cid142150/former-aux-metiers-du-professorat-et-de-l-education-au-21e-siecle.html" TargetMode="External"/><Relationship Id="rId44" Type="http://schemas.openxmlformats.org/officeDocument/2006/relationships/hyperlink" Target="http://www.devenirenseignant.gouv.fr/cid142150/former-aux-metiers-du-professorat-et-de-l-education-au-21e-siecle.html" TargetMode="External"/><Relationship Id="rId52" Type="http://schemas.openxmlformats.org/officeDocument/2006/relationships/hyperlink" Target="http://www.devenirenseignant.gouv.fr/cid142150/former-aux-metiers-du-professorat-et-de-l-education-au-21e-siecl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ducation.gouv.fr/bo/13/Hebdo30/MENE1315928A.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DBCC-243F-4E5B-9DE9-9D4A4E6D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1961</Words>
  <Characters>10787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Sévilla</dc:creator>
  <cp:keywords/>
  <cp:lastModifiedBy>ljeandel@int.ac-nancy-metz.fr</cp:lastModifiedBy>
  <cp:revision>2</cp:revision>
  <cp:lastPrinted>2026-06-11T16:24:00Z</cp:lastPrinted>
  <dcterms:created xsi:type="dcterms:W3CDTF">2026-06-17T06:27:00Z</dcterms:created>
  <dcterms:modified xsi:type="dcterms:W3CDTF">2026-06-17T06:27:00Z</dcterms:modified>
</cp:coreProperties>
</file>